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2"/>
        <w:ind w:firstLine="3080" w:firstLineChars="700"/>
        <w:jc w:val="both"/>
        <w:rPr>
          <w:rFonts w:hint="eastAsia" w:asciiTheme="majorEastAsia" w:hAnsiTheme="majorEastAsia" w:eastAsiaTheme="majorEastAsia" w:cstheme="majorEastAsia"/>
          <w:b w:val="0"/>
          <w:bCs w:val="0"/>
          <w:lang w:eastAsia="zh-CN"/>
        </w:rPr>
      </w:pPr>
      <w:r>
        <w:rPr>
          <w:rFonts w:hint="eastAsia" w:asciiTheme="majorEastAsia" w:hAnsiTheme="majorEastAsia" w:eastAsiaTheme="majorEastAsia" w:cstheme="majorEastAsia"/>
          <w:b w:val="0"/>
          <w:bCs w:val="0"/>
          <w:sz w:val="44"/>
          <w:szCs w:val="44"/>
          <w:lang w:eastAsia="zh-CN"/>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val="en-US" w:eastAsia="zh-CN"/>
        </w:rPr>
        <w:t>油浸式变压器、箱式变压器</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XWY-2026-0428003</w:t>
      </w:r>
    </w:p>
    <w:p w14:paraId="52F2B9DE">
      <w:pPr>
        <w:numPr>
          <w:ilvl w:val="0"/>
          <w:numId w:val="1"/>
        </w:numPr>
        <w:ind w:left="0" w:leftChars="0" w:firstLine="0" w:firstLineChars="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val="en-US" w:eastAsia="zh-CN"/>
        </w:rPr>
        <w:t>油浸式变压器、箱式变压器询价采购</w:t>
      </w:r>
    </w:p>
    <w:p w14:paraId="66D3FC84">
      <w:pPr>
        <w:numPr>
          <w:ilvl w:val="0"/>
          <w:numId w:val="0"/>
        </w:numPr>
        <w:ind w:leftChars="0"/>
        <w:textAlignment w:val="baseline"/>
        <w:rPr>
          <w:rFonts w:hint="default" w:ascii="仿宋" w:hAnsi="仿宋" w:eastAsia="仿宋" w:cs="楷体_GB2312"/>
          <w:b/>
          <w:bCs/>
          <w:color w:val="000000"/>
          <w:sz w:val="28"/>
          <w:szCs w:val="28"/>
          <w:highlight w:val="none"/>
          <w:lang w:val="en-US"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val="en-US" w:eastAsia="zh-CN"/>
        </w:rPr>
        <w:t>安徽省淮南市境内各区县</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413" w:tblpY="500"/>
        <w:tblOverlap w:val="never"/>
        <w:tblW w:w="10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550"/>
        <w:gridCol w:w="2425"/>
        <w:gridCol w:w="850"/>
        <w:gridCol w:w="1213"/>
        <w:gridCol w:w="737"/>
        <w:gridCol w:w="1100"/>
        <w:gridCol w:w="1886"/>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550"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2425"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850"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213"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737"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100"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886"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0481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00E855A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550" w:type="dxa"/>
            <w:shd w:val="clear" w:color="auto" w:fill="auto"/>
            <w:noWrap/>
            <w:vAlign w:val="center"/>
          </w:tcPr>
          <w:p w14:paraId="11427F7F">
            <w:pPr>
              <w:widowControl/>
              <w:jc w:val="center"/>
              <w:textAlignment w:val="baseline"/>
              <w:rPr>
                <w:rFonts w:hint="default"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52F2B3AF">
            <w:pPr>
              <w:keepNext w:val="0"/>
              <w:keepLines w:val="0"/>
              <w:widowControl/>
              <w:suppressLineNumbers w:val="0"/>
              <w:jc w:val="left"/>
              <w:textAlignment w:val="center"/>
              <w:rPr>
                <w:rFonts w:hint="default"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S20-250KVA 10/0.4KV</w:t>
            </w:r>
          </w:p>
        </w:tc>
        <w:tc>
          <w:tcPr>
            <w:tcW w:w="850" w:type="dxa"/>
            <w:shd w:val="clear" w:color="auto" w:fill="auto"/>
            <w:noWrap/>
            <w:vAlign w:val="center"/>
          </w:tcPr>
          <w:p w14:paraId="00210C3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1249287A">
            <w:pPr>
              <w:keepNext w:val="0"/>
              <w:keepLines w:val="0"/>
              <w:widowControl/>
              <w:suppressLineNumbers w:val="0"/>
              <w:jc w:val="center"/>
              <w:textAlignment w:val="center"/>
              <w:rPr>
                <w:rFonts w:hint="default"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737" w:type="dxa"/>
            <w:shd w:val="clear" w:color="auto" w:fill="auto"/>
            <w:noWrap/>
            <w:vAlign w:val="center"/>
          </w:tcPr>
          <w:p w14:paraId="54F4D20F">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31926732">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56AC30BC">
            <w:pPr>
              <w:widowControl/>
              <w:jc w:val="center"/>
              <w:textAlignment w:val="baseline"/>
              <w:rPr>
                <w:rFonts w:hint="default" w:ascii="仿宋" w:hAnsi="仿宋" w:eastAsia="仿宋" w:cs="楷体_GB2312"/>
                <w:color w:val="000000"/>
                <w:sz w:val="24"/>
                <w:szCs w:val="24"/>
                <w:lang w:val="en-US" w:eastAsia="zh-CN"/>
              </w:rPr>
            </w:pPr>
          </w:p>
        </w:tc>
      </w:tr>
      <w:tr w14:paraId="187B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7309FC4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550" w:type="dxa"/>
            <w:shd w:val="clear" w:color="auto" w:fill="auto"/>
            <w:noWrap/>
            <w:vAlign w:val="center"/>
          </w:tcPr>
          <w:p w14:paraId="3D2A3BB8">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7187BADF">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S20-160KVA 10/0.4KV</w:t>
            </w:r>
          </w:p>
        </w:tc>
        <w:tc>
          <w:tcPr>
            <w:tcW w:w="850" w:type="dxa"/>
            <w:shd w:val="clear" w:color="auto" w:fill="auto"/>
            <w:noWrap/>
            <w:vAlign w:val="center"/>
          </w:tcPr>
          <w:p w14:paraId="0F6E171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4506AB15">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7" w:type="dxa"/>
            <w:shd w:val="clear" w:color="auto" w:fill="auto"/>
            <w:noWrap/>
            <w:vAlign w:val="center"/>
          </w:tcPr>
          <w:p w14:paraId="4EFE9421">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2831FE08">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050F9EE5">
            <w:pPr>
              <w:widowControl/>
              <w:jc w:val="center"/>
              <w:textAlignment w:val="baseline"/>
              <w:rPr>
                <w:rFonts w:hint="eastAsia" w:ascii="仿宋" w:hAnsi="仿宋" w:eastAsia="仿宋" w:cs="楷体_GB2312"/>
                <w:color w:val="000000"/>
                <w:sz w:val="24"/>
                <w:szCs w:val="24"/>
                <w:lang w:val="en-US" w:eastAsia="zh-CN"/>
              </w:rPr>
            </w:pPr>
          </w:p>
        </w:tc>
      </w:tr>
      <w:tr w14:paraId="45A1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460BA84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550" w:type="dxa"/>
            <w:shd w:val="clear" w:color="auto" w:fill="auto"/>
            <w:noWrap/>
            <w:vAlign w:val="center"/>
          </w:tcPr>
          <w:p w14:paraId="700E12BF">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3B7F88ED">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S20-125KVA 10/0.4KV</w:t>
            </w:r>
          </w:p>
        </w:tc>
        <w:tc>
          <w:tcPr>
            <w:tcW w:w="850" w:type="dxa"/>
            <w:shd w:val="clear" w:color="auto" w:fill="auto"/>
            <w:noWrap/>
            <w:vAlign w:val="center"/>
          </w:tcPr>
          <w:p w14:paraId="6867F9A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2AE7A2A8">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737" w:type="dxa"/>
            <w:shd w:val="clear" w:color="auto" w:fill="auto"/>
            <w:noWrap/>
            <w:vAlign w:val="center"/>
          </w:tcPr>
          <w:p w14:paraId="48D2B620">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5440A0A3">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20B05D38">
            <w:pPr>
              <w:widowControl/>
              <w:jc w:val="center"/>
              <w:textAlignment w:val="baseline"/>
              <w:rPr>
                <w:rFonts w:hint="eastAsia" w:ascii="仿宋" w:hAnsi="仿宋" w:eastAsia="仿宋" w:cs="楷体_GB2312"/>
                <w:color w:val="000000"/>
                <w:sz w:val="24"/>
                <w:szCs w:val="24"/>
                <w:lang w:val="en-US" w:eastAsia="zh-CN"/>
              </w:rPr>
            </w:pPr>
          </w:p>
        </w:tc>
      </w:tr>
      <w:tr w14:paraId="6B1D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77A2F5B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550" w:type="dxa"/>
            <w:shd w:val="clear" w:color="auto" w:fill="auto"/>
            <w:noWrap/>
            <w:vAlign w:val="center"/>
          </w:tcPr>
          <w:p w14:paraId="325C1E12">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12428FA9">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S20-100KVA 10/0.4KV</w:t>
            </w:r>
          </w:p>
        </w:tc>
        <w:tc>
          <w:tcPr>
            <w:tcW w:w="850" w:type="dxa"/>
            <w:shd w:val="clear" w:color="auto" w:fill="auto"/>
            <w:noWrap/>
            <w:vAlign w:val="center"/>
          </w:tcPr>
          <w:p w14:paraId="6172679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2466CD5E">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737" w:type="dxa"/>
            <w:shd w:val="clear" w:color="auto" w:fill="auto"/>
            <w:noWrap/>
            <w:vAlign w:val="center"/>
          </w:tcPr>
          <w:p w14:paraId="654C6C85">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5BE372E1">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16F49F76">
            <w:pPr>
              <w:widowControl/>
              <w:jc w:val="center"/>
              <w:textAlignment w:val="baseline"/>
              <w:rPr>
                <w:rFonts w:hint="eastAsia" w:ascii="仿宋" w:hAnsi="仿宋" w:eastAsia="仿宋" w:cs="楷体_GB2312"/>
                <w:color w:val="000000"/>
                <w:sz w:val="24"/>
                <w:szCs w:val="24"/>
                <w:lang w:val="en-US" w:eastAsia="zh-CN"/>
              </w:rPr>
            </w:pPr>
          </w:p>
        </w:tc>
      </w:tr>
      <w:tr w14:paraId="3FFFE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43C3020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550" w:type="dxa"/>
            <w:shd w:val="clear" w:color="auto" w:fill="auto"/>
            <w:noWrap/>
            <w:vAlign w:val="center"/>
          </w:tcPr>
          <w:p w14:paraId="4C233514">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742E5913">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S20-80KVA 10/0.4KV</w:t>
            </w:r>
          </w:p>
        </w:tc>
        <w:tc>
          <w:tcPr>
            <w:tcW w:w="850" w:type="dxa"/>
            <w:shd w:val="clear" w:color="auto" w:fill="auto"/>
            <w:noWrap/>
            <w:vAlign w:val="center"/>
          </w:tcPr>
          <w:p w14:paraId="3665FC6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19A871BF">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7" w:type="dxa"/>
            <w:shd w:val="clear" w:color="auto" w:fill="auto"/>
            <w:noWrap/>
            <w:vAlign w:val="center"/>
          </w:tcPr>
          <w:p w14:paraId="7D4683A5">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3DDD2786">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69A6D19D">
            <w:pPr>
              <w:widowControl/>
              <w:jc w:val="center"/>
              <w:textAlignment w:val="baseline"/>
              <w:rPr>
                <w:rFonts w:hint="eastAsia" w:ascii="仿宋" w:hAnsi="仿宋" w:eastAsia="仿宋" w:cs="楷体_GB2312"/>
                <w:color w:val="000000"/>
                <w:sz w:val="24"/>
                <w:szCs w:val="24"/>
                <w:lang w:val="en-US" w:eastAsia="zh-CN"/>
              </w:rPr>
            </w:pPr>
          </w:p>
        </w:tc>
      </w:tr>
      <w:tr w14:paraId="617D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3BF1036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550" w:type="dxa"/>
            <w:shd w:val="clear" w:color="auto" w:fill="auto"/>
            <w:noWrap/>
            <w:vAlign w:val="center"/>
          </w:tcPr>
          <w:p w14:paraId="632438E4">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59B1112D">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S20-50KVA 10/0.4KV</w:t>
            </w:r>
          </w:p>
        </w:tc>
        <w:tc>
          <w:tcPr>
            <w:tcW w:w="850" w:type="dxa"/>
            <w:shd w:val="clear" w:color="auto" w:fill="auto"/>
            <w:noWrap/>
            <w:vAlign w:val="center"/>
          </w:tcPr>
          <w:p w14:paraId="32F36EB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15F48B35">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737" w:type="dxa"/>
            <w:shd w:val="clear" w:color="auto" w:fill="auto"/>
            <w:noWrap/>
            <w:vAlign w:val="center"/>
          </w:tcPr>
          <w:p w14:paraId="24BBD4DE">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1BEE6530">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3DEC63C8">
            <w:pPr>
              <w:widowControl/>
              <w:jc w:val="center"/>
              <w:textAlignment w:val="baseline"/>
              <w:rPr>
                <w:rFonts w:hint="eastAsia" w:ascii="仿宋" w:hAnsi="仿宋" w:eastAsia="仿宋" w:cs="楷体_GB2312"/>
                <w:color w:val="000000"/>
                <w:sz w:val="24"/>
                <w:szCs w:val="24"/>
                <w:lang w:val="en-US" w:eastAsia="zh-CN"/>
              </w:rPr>
            </w:pPr>
          </w:p>
        </w:tc>
      </w:tr>
      <w:tr w14:paraId="651E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7CA792D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550" w:type="dxa"/>
            <w:shd w:val="clear" w:color="auto" w:fill="auto"/>
            <w:noWrap/>
            <w:vAlign w:val="center"/>
          </w:tcPr>
          <w:p w14:paraId="6CDEE0BB">
            <w:pPr>
              <w:widowControl/>
              <w:jc w:val="center"/>
              <w:textAlignment w:val="baseline"/>
              <w:rPr>
                <w:rFonts w:hint="default" w:ascii="仿宋" w:hAnsi="仿宋" w:eastAsia="仿宋" w:cs="楷体_GB2312"/>
                <w:color w:val="000000"/>
                <w:kern w:val="2"/>
                <w:sz w:val="24"/>
                <w:szCs w:val="24"/>
                <w:lang w:val="en-US" w:eastAsia="zh-CN" w:bidi="ar-SA"/>
              </w:rPr>
            </w:pPr>
            <w:r>
              <w:rPr>
                <w:rFonts w:hint="eastAsia" w:ascii="仿宋" w:hAnsi="仿宋" w:eastAsia="仿宋" w:cs="楷体_GB2312"/>
                <w:color w:val="000000"/>
                <w:kern w:val="2"/>
                <w:sz w:val="24"/>
                <w:szCs w:val="24"/>
                <w:lang w:val="en-US" w:eastAsia="zh-CN" w:bidi="ar-SA"/>
              </w:rPr>
              <w:t>美式箱变（含配套设备）</w:t>
            </w:r>
          </w:p>
        </w:tc>
        <w:tc>
          <w:tcPr>
            <w:tcW w:w="2425" w:type="dxa"/>
            <w:shd w:val="clear" w:color="auto" w:fill="auto"/>
            <w:noWrap/>
            <w:vAlign w:val="center"/>
          </w:tcPr>
          <w:p w14:paraId="07265C1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ZGS-315KVA 10/0.4kv终端型</w:t>
            </w:r>
          </w:p>
        </w:tc>
        <w:tc>
          <w:tcPr>
            <w:tcW w:w="850" w:type="dxa"/>
            <w:shd w:val="clear" w:color="auto" w:fill="auto"/>
            <w:noWrap/>
            <w:vAlign w:val="center"/>
          </w:tcPr>
          <w:p w14:paraId="4130694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0120605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737" w:type="dxa"/>
            <w:shd w:val="clear" w:color="auto" w:fill="auto"/>
            <w:noWrap/>
            <w:vAlign w:val="center"/>
          </w:tcPr>
          <w:p w14:paraId="48583348">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04FDC0D7">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7DE59D7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终端型-S20铜 美变315KVA内配：进线总开关M1-630/3P 630A手动，出线3路：630A*1+400*2断路器，有补偿、选用小型断路器、复合开关、电容器分共补动态样式配置，开关元件以及其它辅料附件由公司标准配置，其中不含计量表计、采集终端预留其安装位置</w:t>
            </w:r>
          </w:p>
        </w:tc>
      </w:tr>
      <w:tr w14:paraId="44C3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0E9382C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550" w:type="dxa"/>
            <w:shd w:val="clear" w:color="auto" w:fill="auto"/>
            <w:noWrap/>
            <w:vAlign w:val="center"/>
          </w:tcPr>
          <w:p w14:paraId="7645B90C">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kern w:val="2"/>
                <w:sz w:val="24"/>
                <w:szCs w:val="24"/>
                <w:lang w:val="en-US" w:eastAsia="zh-CN" w:bidi="ar-SA"/>
              </w:rPr>
              <w:t>美式箱变（含配套设备）</w:t>
            </w:r>
          </w:p>
        </w:tc>
        <w:tc>
          <w:tcPr>
            <w:tcW w:w="2425" w:type="dxa"/>
            <w:shd w:val="clear" w:color="auto" w:fill="auto"/>
            <w:noWrap/>
            <w:vAlign w:val="center"/>
          </w:tcPr>
          <w:p w14:paraId="68CEF4C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ZGS-200KVA 10/0.4kv终端型</w:t>
            </w:r>
          </w:p>
        </w:tc>
        <w:tc>
          <w:tcPr>
            <w:tcW w:w="850" w:type="dxa"/>
            <w:shd w:val="clear" w:color="auto" w:fill="auto"/>
            <w:noWrap/>
            <w:vAlign w:val="center"/>
          </w:tcPr>
          <w:p w14:paraId="6AAC764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2D1EC26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737" w:type="dxa"/>
            <w:shd w:val="clear" w:color="auto" w:fill="auto"/>
            <w:noWrap/>
            <w:vAlign w:val="center"/>
          </w:tcPr>
          <w:p w14:paraId="15C54620">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59A68D77">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6AD7E7C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终端型-S20铜 美变200KVA内配：进线总开关M1-400/3P 400A手动，出线3路：400A*1+200*2断路器，有补偿、选用小型断路器、复合开关、电容器分共补动态样式配置，开关元件以及其它辅料附件由公司标准配置，其中不含计量表计、采集终端预留其安装位置</w:t>
            </w:r>
          </w:p>
        </w:tc>
      </w:tr>
      <w:tr w14:paraId="1EBB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6F42C45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550" w:type="dxa"/>
            <w:shd w:val="clear" w:color="auto" w:fill="auto"/>
            <w:noWrap/>
            <w:vAlign w:val="center"/>
          </w:tcPr>
          <w:p w14:paraId="1334EC1E">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kern w:val="2"/>
                <w:sz w:val="24"/>
                <w:szCs w:val="24"/>
                <w:lang w:val="en-US" w:eastAsia="zh-CN" w:bidi="ar-SA"/>
              </w:rPr>
              <w:t>美式箱变（含配套设备）</w:t>
            </w:r>
          </w:p>
        </w:tc>
        <w:tc>
          <w:tcPr>
            <w:tcW w:w="2425" w:type="dxa"/>
            <w:shd w:val="clear" w:color="auto" w:fill="auto"/>
            <w:noWrap/>
            <w:vAlign w:val="center"/>
          </w:tcPr>
          <w:p w14:paraId="463265A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ZGS-100KVA 10/0.4kv终端型</w:t>
            </w:r>
          </w:p>
        </w:tc>
        <w:tc>
          <w:tcPr>
            <w:tcW w:w="850" w:type="dxa"/>
            <w:shd w:val="clear" w:color="auto" w:fill="auto"/>
            <w:noWrap/>
            <w:vAlign w:val="center"/>
          </w:tcPr>
          <w:p w14:paraId="5116BC3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61574D9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737" w:type="dxa"/>
            <w:shd w:val="clear" w:color="auto" w:fill="auto"/>
            <w:noWrap/>
            <w:vAlign w:val="center"/>
          </w:tcPr>
          <w:p w14:paraId="2B001545">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7D98C9E4">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7F0F4B3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终端型-S20铜 美变100KVA内配：进线总开关M1-250/3P 200A手动，出线3路：200A*1+100*2断路器，有补偿、选用小型断路器、复合开关、电容器分共补动态样式配置，开关元件以及其它辅料附件由公司标准配置，其中不含计量表计、采集终端预留其安装位置</w:t>
            </w:r>
          </w:p>
        </w:tc>
      </w:tr>
      <w:tr w14:paraId="291B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35C2F05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550" w:type="dxa"/>
            <w:shd w:val="clear" w:color="auto" w:fill="auto"/>
            <w:noWrap/>
            <w:vAlign w:val="center"/>
          </w:tcPr>
          <w:p w14:paraId="3B401EF3">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kern w:val="2"/>
                <w:sz w:val="24"/>
                <w:szCs w:val="24"/>
                <w:lang w:val="en-US" w:eastAsia="zh-CN" w:bidi="ar-SA"/>
              </w:rPr>
              <w:t>美式箱变（含配套设备）</w:t>
            </w:r>
          </w:p>
        </w:tc>
        <w:tc>
          <w:tcPr>
            <w:tcW w:w="2425" w:type="dxa"/>
            <w:shd w:val="clear" w:color="auto" w:fill="auto"/>
            <w:noWrap/>
            <w:vAlign w:val="center"/>
          </w:tcPr>
          <w:p w14:paraId="4C4B27C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ZGS-50KVA 10/0.4kv终端型</w:t>
            </w:r>
          </w:p>
        </w:tc>
        <w:tc>
          <w:tcPr>
            <w:tcW w:w="850" w:type="dxa"/>
            <w:shd w:val="clear" w:color="auto" w:fill="auto"/>
            <w:noWrap/>
            <w:vAlign w:val="center"/>
          </w:tcPr>
          <w:p w14:paraId="532BA38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73B4AC3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737" w:type="dxa"/>
            <w:shd w:val="clear" w:color="auto" w:fill="auto"/>
            <w:noWrap/>
            <w:vAlign w:val="center"/>
          </w:tcPr>
          <w:p w14:paraId="1E533DDD">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74C8EC9C">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0A187FA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终端型-S20铜 美变50KVA内配：进线总开关M1-125/3P 100A手动，出线3路：100A*1+63*2断路器，有补偿、选用小型断路器、复合开关、电容器分共补动态样式配置，开关元件以及其它辅料附件由公司标准配置，其中不含计量表计、采集终端预留其安装位置</w:t>
            </w: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411"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225" w:type="dxa"/>
            <w:gridSpan w:val="4"/>
            <w:shd w:val="clear" w:color="auto" w:fill="auto"/>
            <w:noWrap/>
            <w:vAlign w:val="center"/>
          </w:tcPr>
          <w:p w14:paraId="20674715">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2D79C3FF">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508C6DAC">
            <w:pPr>
              <w:widowControl/>
              <w:jc w:val="center"/>
              <w:textAlignment w:val="baseline"/>
              <w:rPr>
                <w:rFonts w:hint="eastAsia" w:ascii="仿宋" w:hAnsi="仿宋" w:eastAsia="仿宋" w:cs="楷体_GB2312"/>
                <w:color w:val="000000"/>
                <w:sz w:val="24"/>
                <w:szCs w:val="24"/>
                <w:lang w:val="en-US" w:eastAsia="zh-CN"/>
              </w:rPr>
            </w:pPr>
          </w:p>
        </w:tc>
      </w:tr>
      <w:tr w14:paraId="0A96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622" w:type="dxa"/>
            <w:gridSpan w:val="8"/>
            <w:shd w:val="clear" w:color="auto" w:fill="auto"/>
            <w:noWrap/>
            <w:vAlign w:val="center"/>
          </w:tcPr>
          <w:p w14:paraId="679C3C37">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说明：1、以上报价含13%增值税、含运费(</w:t>
            </w:r>
            <w:r>
              <w:rPr>
                <w:rFonts w:hint="eastAsia" w:ascii="仿宋" w:hAnsi="仿宋" w:eastAsia="仿宋" w:cs="仿宋"/>
                <w:sz w:val="24"/>
                <w:szCs w:val="24"/>
                <w:lang w:val="en-US" w:eastAsia="zh-CN"/>
              </w:rPr>
              <w:t>至</w:t>
            </w:r>
            <w:r>
              <w:rPr>
                <w:rFonts w:hint="eastAsia" w:ascii="仿宋" w:hAnsi="仿宋" w:eastAsia="仿宋" w:cs="仿宋"/>
                <w:sz w:val="24"/>
                <w:szCs w:val="24"/>
                <w:lang w:eastAsia="zh-CN"/>
              </w:rPr>
              <w:t>淮南</w:t>
            </w:r>
            <w:r>
              <w:rPr>
                <w:rFonts w:hint="eastAsia" w:ascii="仿宋" w:hAnsi="仿宋" w:eastAsia="仿宋" w:cs="仿宋"/>
                <w:sz w:val="24"/>
                <w:szCs w:val="24"/>
                <w:lang w:val="en-US" w:eastAsia="zh-CN"/>
              </w:rPr>
              <w:t>市辖区甲方指定位置</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卸车费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生产计划以现场实际需求而定。</w:t>
            </w:r>
          </w:p>
          <w:p w14:paraId="23AEC9C0">
            <w:pPr>
              <w:bidi w:val="0"/>
              <w:ind w:firstLine="720" w:firstLineChars="300"/>
              <w:rPr>
                <w:rFonts w:hint="eastAsia" w:ascii="仿宋" w:hAnsi="仿宋" w:eastAsia="仿宋" w:cs="仿宋"/>
                <w:sz w:val="24"/>
                <w:szCs w:val="24"/>
                <w:lang w:eastAsia="zh-CN"/>
              </w:rPr>
            </w:pPr>
            <w:r>
              <w:rPr>
                <w:rFonts w:hint="eastAsia" w:ascii="仿宋" w:hAnsi="仿宋" w:eastAsia="仿宋" w:cs="仿宋"/>
                <w:sz w:val="24"/>
                <w:szCs w:val="24"/>
                <w:lang w:eastAsia="zh-CN"/>
              </w:rPr>
              <w:t>3、本报价开关元件以及其它辅料附件由</w:t>
            </w:r>
            <w:r>
              <w:rPr>
                <w:rFonts w:hint="eastAsia" w:ascii="仿宋" w:hAnsi="仿宋" w:eastAsia="仿宋" w:cs="仿宋"/>
                <w:sz w:val="24"/>
                <w:szCs w:val="24"/>
                <w:lang w:val="en-US" w:eastAsia="zh-CN"/>
              </w:rPr>
              <w:t>报价</w:t>
            </w:r>
            <w:r>
              <w:rPr>
                <w:rFonts w:hint="eastAsia" w:ascii="仿宋" w:hAnsi="仿宋" w:eastAsia="仿宋" w:cs="仿宋"/>
                <w:sz w:val="24"/>
                <w:szCs w:val="24"/>
                <w:lang w:eastAsia="zh-CN"/>
              </w:rPr>
              <w:t xml:space="preserve">公司标准配置，其中不含计量表计、采集终端预留其安装位置。        </w:t>
            </w:r>
          </w:p>
          <w:p w14:paraId="09BC5ABD">
            <w:pPr>
              <w:bidi w:val="0"/>
              <w:ind w:firstLine="720" w:firstLineChars="300"/>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4、电容补偿(30%)：选用小型断路器、 复合开关、电力电容器分共补动态样式配置。        </w:t>
            </w:r>
          </w:p>
          <w:p w14:paraId="08B4F8C9">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sz w:val="24"/>
                <w:szCs w:val="24"/>
                <w:lang w:eastAsia="zh-CN"/>
              </w:rPr>
              <w:t xml:space="preserve">5、外壳选用冷轧铁板喷塑（颜色国网绿）,变压器采用S20全铜材质。 </w:t>
            </w:r>
            <w:r>
              <w:rPr>
                <w:rFonts w:hint="eastAsia" w:ascii="仿宋" w:hAnsi="仿宋" w:eastAsia="仿宋" w:cs="仿宋"/>
                <w:sz w:val="24"/>
                <w:szCs w:val="24"/>
                <w:lang w:val="en-US" w:eastAsia="zh-CN"/>
              </w:rPr>
              <w:t>质保期为设备安装完成，验收合格之日起2年。</w:t>
            </w:r>
            <w:r>
              <w:rPr>
                <w:rFonts w:hint="eastAsia" w:ascii="仿宋" w:hAnsi="仿宋" w:eastAsia="仿宋" w:cs="仿宋"/>
                <w:sz w:val="24"/>
                <w:szCs w:val="24"/>
                <w:lang w:eastAsia="zh-CN"/>
              </w:rPr>
              <w:t xml:space="preserve">   </w:t>
            </w:r>
          </w:p>
        </w:tc>
      </w:tr>
    </w:tbl>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（1）在中国境内注册具有独立承担民事责任的能力，提供有效的三证合一的营业执照，营业执照经营范围须包含设备生产或销售，在人员、资金、设备方面，具有承接本项目能力。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w:t>
      </w:r>
      <w:r>
        <w:rPr>
          <w:rFonts w:hint="eastAsia" w:ascii="仿宋" w:hAnsi="仿宋" w:eastAsia="仿宋" w:cs="楷体_GB2312"/>
          <w:color w:val="000000"/>
          <w:sz w:val="28"/>
          <w:szCs w:val="28"/>
          <w:lang w:eastAsia="zh-CN"/>
        </w:rPr>
        <w:t>厚度、</w:t>
      </w:r>
      <w:r>
        <w:rPr>
          <w:rFonts w:hint="eastAsia" w:ascii="仿宋" w:hAnsi="仿宋" w:eastAsia="仿宋" w:cs="楷体_GB2312"/>
          <w:color w:val="000000"/>
          <w:sz w:val="28"/>
          <w:szCs w:val="28"/>
        </w:rPr>
        <w:t>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6、产品执行标准：质量必须符合国家标准规范的技术要求。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2、报价人需按合同约定的供货期间进行供货，按双方约定要求验收合格后，方可投入工程使用。根据供货验收合格数量据实结算。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CA126EF">
      <w:pPr>
        <w:keepNext w:val="0"/>
        <w:keepLines w:val="0"/>
        <w:pageBreakBefore w:val="0"/>
        <w:widowControl w:val="0"/>
        <w:kinsoku/>
        <w:overflowPunct/>
        <w:topLinePunct w:val="0"/>
        <w:autoSpaceDE/>
        <w:autoSpaceDN/>
        <w:bidi w:val="0"/>
        <w:adjustRightInd/>
        <w:snapToGrid/>
        <w:spacing w:line="560" w:lineRule="exact"/>
        <w:ind w:firstLine="280" w:firstLineChars="100"/>
        <w:jc w:val="left"/>
        <w:textAlignment w:val="auto"/>
        <w:rPr>
          <w:rFonts w:hint="eastAsia" w:ascii="楷体" w:hAnsi="楷体" w:eastAsia="楷体" w:cs="楷体"/>
          <w:color w:val="auto"/>
          <w:sz w:val="28"/>
          <w:szCs w:val="28"/>
          <w:lang w:val="en-US" w:eastAsia="zh-CN"/>
        </w:rPr>
      </w:pPr>
      <w:r>
        <w:rPr>
          <w:rFonts w:hint="eastAsia" w:ascii="楷体" w:hAnsi="楷体" w:eastAsia="楷体" w:cs="楷体"/>
          <w:color w:val="auto"/>
          <w:sz w:val="28"/>
          <w:szCs w:val="28"/>
          <w:lang w:val="en-US" w:eastAsia="zh-CN"/>
        </w:rPr>
        <w:t>（一）报价日程安排</w:t>
      </w:r>
    </w:p>
    <w:p w14:paraId="56D41672">
      <w:pPr>
        <w:keepNext w:val="0"/>
        <w:keepLines w:val="0"/>
        <w:pageBreakBefore w:val="0"/>
        <w:widowControl w:val="0"/>
        <w:kinsoku/>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在询价文件公布之日起，有意向报价方根据询价文件要求，定于</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2026</w:t>
      </w:r>
      <w:r>
        <w:rPr>
          <w:rFonts w:hint="eastAsia" w:ascii="仿宋" w:hAnsi="仿宋" w:eastAsia="仿宋" w:cs="仿宋"/>
          <w:color w:val="000000" w:themeColor="text1"/>
          <w:sz w:val="28"/>
          <w:szCs w:val="28"/>
          <w:highlight w:val="none"/>
          <w:lang w:val="en-US" w:eastAsia="zh-CN"/>
          <w14:textFill>
            <w14:solidFill>
              <w14:schemeClr w14:val="tx1"/>
            </w14:solidFill>
          </w14:textFill>
        </w:rPr>
        <w:t>年</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5</w:t>
      </w:r>
      <w:r>
        <w:rPr>
          <w:rFonts w:hint="eastAsia" w:ascii="仿宋" w:hAnsi="仿宋" w:eastAsia="仿宋" w:cs="仿宋"/>
          <w:color w:val="000000" w:themeColor="text1"/>
          <w:sz w:val="28"/>
          <w:szCs w:val="28"/>
          <w:highlight w:val="none"/>
          <w:lang w:val="en-US" w:eastAsia="zh-CN"/>
          <w14:textFill>
            <w14:solidFill>
              <w14:schemeClr w14:val="tx1"/>
            </w14:solidFill>
          </w14:textFill>
        </w:rPr>
        <w:t>月</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9</w:t>
      </w:r>
      <w:r>
        <w:rPr>
          <w:rFonts w:hint="eastAsia" w:ascii="仿宋" w:hAnsi="仿宋" w:eastAsia="仿宋" w:cs="仿宋"/>
          <w:color w:val="000000" w:themeColor="text1"/>
          <w:sz w:val="28"/>
          <w:szCs w:val="28"/>
          <w:highlight w:val="none"/>
          <w:lang w:val="en-US" w:eastAsia="zh-CN"/>
          <w14:textFill>
            <w14:solidFill>
              <w14:schemeClr w14:val="tx1"/>
            </w14:solidFill>
          </w14:textFill>
        </w:rPr>
        <w:t>日</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9</w:t>
      </w:r>
      <w:r>
        <w:rPr>
          <w:rFonts w:hint="eastAsia" w:ascii="仿宋" w:hAnsi="仿宋" w:eastAsia="仿宋" w:cs="仿宋"/>
          <w:color w:val="000000" w:themeColor="text1"/>
          <w:sz w:val="28"/>
          <w:szCs w:val="28"/>
          <w:highlight w:val="none"/>
          <w:lang w:val="en-US" w:eastAsia="zh-CN"/>
          <w14:textFill>
            <w14:solidFill>
              <w14:schemeClr w14:val="tx1"/>
            </w14:solidFill>
          </w14:textFill>
        </w:rPr>
        <w:t>时前，</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各报价单位把报价文件递交至安徽省淮南市田家庵区智慧谷4号楼3楼（智慧谷西门进入正东的那栋）淮南新物源商贸有限责任公司</w:t>
      </w:r>
      <w:r>
        <w:rPr>
          <w:rFonts w:hint="eastAsia" w:ascii="仿宋" w:hAnsi="仿宋" w:eastAsia="仿宋" w:cs="仿宋"/>
          <w:color w:val="000000" w:themeColor="text1"/>
          <w:sz w:val="28"/>
          <w:szCs w:val="28"/>
          <w:highlight w:val="none"/>
          <w:lang w:val="en-US" w:eastAsia="zh-CN"/>
          <w14:textFill>
            <w14:solidFill>
              <w14:schemeClr w14:val="tx1"/>
            </w14:solidFill>
          </w14:textFill>
        </w:rPr>
        <w:t>，逾期送达的报价文件拒绝接收。</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2026</w:t>
      </w:r>
      <w:r>
        <w:rPr>
          <w:rFonts w:hint="eastAsia" w:ascii="仿宋" w:hAnsi="仿宋" w:eastAsia="仿宋" w:cs="仿宋"/>
          <w:color w:val="000000" w:themeColor="text1"/>
          <w:sz w:val="28"/>
          <w:szCs w:val="28"/>
          <w:highlight w:val="none"/>
          <w:lang w:val="en-US" w:eastAsia="zh-CN"/>
          <w14:textFill>
            <w14:solidFill>
              <w14:schemeClr w14:val="tx1"/>
            </w14:solidFill>
          </w14:textFill>
        </w:rPr>
        <w:t>年</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5</w:t>
      </w:r>
      <w:r>
        <w:rPr>
          <w:rFonts w:hint="eastAsia" w:ascii="仿宋" w:hAnsi="仿宋" w:eastAsia="仿宋" w:cs="仿宋"/>
          <w:color w:val="000000" w:themeColor="text1"/>
          <w:sz w:val="28"/>
          <w:szCs w:val="28"/>
          <w:highlight w:val="none"/>
          <w:lang w:val="en-US" w:eastAsia="zh-CN"/>
          <w14:textFill>
            <w14:solidFill>
              <w14:schemeClr w14:val="tx1"/>
            </w14:solidFill>
          </w14:textFill>
        </w:rPr>
        <w:t>月</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9</w:t>
      </w:r>
      <w:r>
        <w:rPr>
          <w:rFonts w:hint="eastAsia" w:ascii="仿宋" w:hAnsi="仿宋" w:eastAsia="仿宋" w:cs="仿宋"/>
          <w:color w:val="000000" w:themeColor="text1"/>
          <w:sz w:val="28"/>
          <w:szCs w:val="28"/>
          <w:highlight w:val="none"/>
          <w:lang w:val="en-US" w:eastAsia="zh-CN"/>
          <w14:textFill>
            <w14:solidFill>
              <w14:schemeClr w14:val="tx1"/>
            </w14:solidFill>
          </w14:textFill>
        </w:rPr>
        <w:t>日</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9</w:t>
      </w:r>
      <w:r>
        <w:rPr>
          <w:rFonts w:hint="eastAsia" w:ascii="仿宋" w:hAnsi="仿宋" w:eastAsia="仿宋" w:cs="仿宋"/>
          <w:color w:val="000000" w:themeColor="text1"/>
          <w:sz w:val="28"/>
          <w:szCs w:val="28"/>
          <w:highlight w:val="none"/>
          <w:lang w:val="en-US" w:eastAsia="zh-CN"/>
          <w14:textFill>
            <w14:solidFill>
              <w14:schemeClr w14:val="tx1"/>
            </w14:solidFill>
          </w14:textFill>
        </w:rPr>
        <w:t>时当众开启各方报价文件。</w:t>
      </w:r>
    </w:p>
    <w:p w14:paraId="282D4E9D">
      <w:pPr>
        <w:keepNext w:val="0"/>
        <w:keepLines w:val="0"/>
        <w:pageBreakBefore w:val="0"/>
        <w:widowControl w:val="0"/>
        <w:kinsoku/>
        <w:overflowPunct/>
        <w:topLinePunct w:val="0"/>
        <w:autoSpaceDE/>
        <w:autoSpaceDN/>
        <w:bidi w:val="0"/>
        <w:adjustRightInd/>
        <w:snapToGrid/>
        <w:spacing w:line="560" w:lineRule="exact"/>
        <w:ind w:firstLine="280" w:firstLineChars="100"/>
        <w:jc w:val="left"/>
        <w:textAlignment w:val="auto"/>
        <w:rPr>
          <w:rFonts w:hint="eastAsia" w:ascii="楷体" w:hAnsi="楷体" w:eastAsia="楷体" w:cs="楷体"/>
          <w:color w:val="000000" w:themeColor="text1"/>
          <w:sz w:val="28"/>
          <w:szCs w:val="28"/>
          <w:highlight w:val="none"/>
          <w:lang w:val="en-US" w:eastAsia="zh-CN"/>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（二）报价保证金</w:t>
      </w:r>
    </w:p>
    <w:p w14:paraId="5F9A7B16">
      <w:pPr>
        <w:keepNext w:val="0"/>
        <w:keepLines w:val="0"/>
        <w:pageBreakBefore w:val="0"/>
        <w:widowControl w:val="0"/>
        <w:kinsoku/>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报价方在确认参与报价，并在提供报价文件前，提供报价保证金（公司账户转账，个人转账无效）人民币</w:t>
      </w:r>
      <w:r>
        <w:rPr>
          <w:rFonts w:hint="default" w:ascii="Arial" w:hAnsi="Arial" w:eastAsia="仿宋" w:cs="Arial"/>
          <w:color w:val="000000" w:themeColor="text1"/>
          <w:sz w:val="28"/>
          <w:szCs w:val="28"/>
          <w:highlight w:val="none"/>
          <w:u w:val="single"/>
          <w:lang w:val="en-US" w:eastAsia="zh-CN"/>
          <w14:textFill>
            <w14:solidFill>
              <w14:schemeClr w14:val="tx1"/>
            </w14:solidFill>
          </w14:textFill>
        </w:rPr>
        <w:t>¥</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20000.00元（大写：贰万元整）</w:t>
      </w:r>
      <w:r>
        <w:rPr>
          <w:rFonts w:hint="eastAsia" w:ascii="仿宋" w:hAnsi="仿宋" w:eastAsia="仿宋" w:cs="仿宋"/>
          <w:color w:val="000000" w:themeColor="text1"/>
          <w:sz w:val="28"/>
          <w:szCs w:val="28"/>
          <w:highlight w:val="none"/>
          <w:lang w:val="en-US" w:eastAsia="zh-CN"/>
          <w14:textFill>
            <w14:solidFill>
              <w14:schemeClr w14:val="tx1"/>
            </w14:solidFill>
          </w14:textFill>
        </w:rPr>
        <w:t>回执单，公司指定账户：</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淮南新物源商贸有限责任公司</w:t>
      </w:r>
      <w:r>
        <w:rPr>
          <w:rFonts w:hint="eastAsia" w:ascii="仿宋" w:hAnsi="仿宋" w:eastAsia="仿宋" w:cs="仿宋"/>
          <w:color w:val="000000" w:themeColor="text1"/>
          <w:sz w:val="28"/>
          <w:szCs w:val="28"/>
          <w:highlight w:val="none"/>
          <w:lang w:val="en-US" w:eastAsia="zh-CN"/>
          <w14:textFill>
            <w14:solidFill>
              <w14:schemeClr w14:val="tx1"/>
            </w14:solidFill>
          </w14:textFill>
        </w:rPr>
        <w:t>，纳税人识别号：</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91340403MA8P685W20</w:t>
      </w:r>
      <w:r>
        <w:rPr>
          <w:rFonts w:hint="eastAsia" w:ascii="仿宋" w:hAnsi="仿宋" w:eastAsia="仿宋" w:cs="仿宋"/>
          <w:color w:val="000000" w:themeColor="text1"/>
          <w:sz w:val="28"/>
          <w:szCs w:val="28"/>
          <w:highlight w:val="none"/>
          <w:lang w:val="en-US" w:eastAsia="zh-CN"/>
          <w14:textFill>
            <w14:solidFill>
              <w14:schemeClr w14:val="tx1"/>
            </w14:solidFill>
          </w14:textFill>
        </w:rPr>
        <w:t>，地址及电话：</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安徽省淮南市田家庵区舜耕镇龙湖南路9号（</w:t>
      </w:r>
      <w:r>
        <w:rPr>
          <w:rFonts w:hint="eastAsia" w:ascii="仿宋" w:hAnsi="仿宋" w:eastAsia="仿宋" w:cs="仿宋"/>
          <w:color w:val="auto"/>
          <w:sz w:val="28"/>
          <w:szCs w:val="28"/>
          <w:u w:val="single"/>
          <w:lang w:val="en-US" w:eastAsia="zh-CN"/>
        </w:rPr>
        <w:t>新舜大厦）0554-5338879</w:t>
      </w:r>
      <w:r>
        <w:rPr>
          <w:rFonts w:hint="eastAsia" w:ascii="仿宋" w:hAnsi="仿宋" w:eastAsia="仿宋" w:cs="仿宋"/>
          <w:color w:val="auto"/>
          <w:sz w:val="28"/>
          <w:szCs w:val="28"/>
          <w:lang w:val="en-US" w:eastAsia="zh-CN"/>
        </w:rPr>
        <w:t>，开户行及账号：</w:t>
      </w:r>
      <w:r>
        <w:rPr>
          <w:rFonts w:hint="eastAsia" w:ascii="仿宋" w:hAnsi="仿宋" w:eastAsia="仿宋" w:cs="仿宋"/>
          <w:color w:val="auto"/>
          <w:sz w:val="28"/>
          <w:szCs w:val="28"/>
          <w:u w:val="single"/>
          <w:lang w:val="en-US" w:eastAsia="zh-CN"/>
        </w:rPr>
        <w:t>交通银行股份有限公司淮南分行344071100013000364789</w:t>
      </w:r>
      <w:r>
        <w:rPr>
          <w:rFonts w:hint="eastAsia" w:ascii="仿宋" w:hAnsi="仿宋" w:eastAsia="仿宋" w:cs="仿宋"/>
          <w:color w:val="auto"/>
          <w:sz w:val="28"/>
          <w:szCs w:val="28"/>
          <w:lang w:val="en-US" w:eastAsia="zh-CN"/>
        </w:rPr>
        <w:t>。</w:t>
      </w:r>
    </w:p>
    <w:p w14:paraId="064404E4">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eastAsia" w:ascii="楷体" w:hAnsi="楷体" w:eastAsia="楷体" w:cs="楷体"/>
          <w:color w:val="auto"/>
          <w:sz w:val="28"/>
          <w:szCs w:val="28"/>
          <w:lang w:val="en-US" w:eastAsia="zh-CN"/>
        </w:rPr>
      </w:pPr>
      <w:r>
        <w:rPr>
          <w:rFonts w:hint="eastAsia" w:ascii="楷体" w:hAnsi="楷体" w:eastAsia="楷体" w:cs="楷体"/>
          <w:color w:val="auto"/>
          <w:sz w:val="28"/>
          <w:szCs w:val="28"/>
          <w:lang w:val="en-US" w:eastAsia="zh-CN"/>
        </w:rPr>
        <w:t>(三)报价保证金返还、履约保证金缴纳</w:t>
      </w:r>
    </w:p>
    <w:p w14:paraId="3CCA1937">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1.报价保证金在询价完成后，14个工作日内予以返还。</w:t>
      </w:r>
    </w:p>
    <w:p w14:paraId="78B970CD">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2.自发布成交公告之日起30个自然日内成交单位按合同总金额的5%缴纳履</w:t>
      </w:r>
    </w:p>
    <w:p w14:paraId="2CDF2CA2">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约保证金，解除合同或终止供货后 14个工作日内予以返还。</w:t>
      </w:r>
    </w:p>
    <w:p w14:paraId="6968B638">
      <w:pPr>
        <w:pStyle w:val="2"/>
        <w:ind w:left="0" w:leftChars="0" w:firstLine="280" w:firstLineChars="100"/>
        <w:rPr>
          <w:rFonts w:hint="eastAsia"/>
          <w:lang w:val="en-US" w:eastAsia="zh-CN"/>
        </w:rPr>
      </w:pPr>
      <w:r>
        <w:rPr>
          <w:rFonts w:hint="eastAsia" w:ascii="楷体" w:hAnsi="楷体" w:eastAsia="楷体" w:cs="楷体"/>
          <w:color w:val="auto"/>
          <w:sz w:val="28"/>
          <w:szCs w:val="28"/>
          <w:lang w:val="en-US" w:eastAsia="zh-CN"/>
        </w:rPr>
        <w:t>（四）询价文件索取方式：http://www.ahxjjg.com/</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3BC6E339">
      <w:pPr>
        <w:keepNext w:val="0"/>
        <w:keepLines w:val="0"/>
        <w:pageBreakBefore w:val="0"/>
        <w:widowControl w:val="0"/>
        <w:kinsoku/>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8"/>
          <w:szCs w:val="28"/>
          <w:lang w:val="en-US" w:eastAsia="zh-CN"/>
        </w:rPr>
        <w:t>4、</w:t>
      </w:r>
      <w:r>
        <w:rPr>
          <w:rFonts w:hint="eastAsia" w:ascii="仿宋" w:hAnsi="仿宋" w:eastAsia="仿宋" w:cs="仿宋"/>
          <w:color w:val="auto"/>
          <w:sz w:val="28"/>
          <w:szCs w:val="28"/>
          <w:lang w:val="en-US" w:eastAsia="zh-CN"/>
        </w:rPr>
        <w:t>本次询价报价单位少于三家或所有报价均被否决的，重新进行询价。</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w:t>
      </w:r>
      <w:r>
        <w:rPr>
          <w:rFonts w:hint="eastAsia" w:ascii="仿宋" w:hAnsi="仿宋" w:eastAsia="仿宋" w:cs="楷体_GB2312"/>
          <w:color w:val="000000"/>
          <w:kern w:val="2"/>
          <w:sz w:val="28"/>
          <w:szCs w:val="28"/>
          <w:lang w:val="en-US" w:eastAsia="zh-CN" w:bidi="ar-SA"/>
        </w:rPr>
        <w:t>19719804594(高)</w:t>
      </w:r>
    </w:p>
    <w:p w14:paraId="0DB0FB78">
      <w:pPr>
        <w:pStyle w:val="2"/>
        <w:rPr>
          <w:rFonts w:hint="default"/>
          <w:lang w:val="en-US" w:eastAsia="zh-CN"/>
        </w:rPr>
      </w:pPr>
      <w:r>
        <w:rPr>
          <w:rFonts w:hint="eastAsia" w:ascii="仿宋" w:hAnsi="仿宋" w:eastAsia="仿宋" w:cs="楷体_GB2312"/>
          <w:color w:val="000000"/>
          <w:sz w:val="28"/>
          <w:szCs w:val="28"/>
          <w:lang w:val="en-US" w:eastAsia="zh-CN"/>
        </w:rPr>
        <w:t xml:space="preserve"> 联系人（技术）：电话：13805540944(洪）</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59894884">
      <w:pPr>
        <w:pStyle w:val="2"/>
        <w:ind w:left="0" w:leftChars="0" w:firstLine="562" w:firstLineChars="200"/>
        <w:rPr>
          <w:rFonts w:hint="default" w:eastAsia="仿宋"/>
          <w:lang w:val="en-US" w:eastAsia="zh-CN"/>
        </w:rPr>
      </w:pPr>
      <w:r>
        <w:rPr>
          <w:rFonts w:hint="eastAsia" w:ascii="仿宋" w:hAnsi="仿宋" w:eastAsia="仿宋" w:cs="楷体_GB2312"/>
          <w:b/>
          <w:bCs/>
          <w:color w:val="000000"/>
          <w:sz w:val="28"/>
          <w:szCs w:val="28"/>
          <w:lang w:val="en-US" w:eastAsia="zh-CN"/>
        </w:rPr>
        <w:t>9、采购合同</w:t>
      </w:r>
    </w:p>
    <w:p w14:paraId="34D17AA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2EB24831">
      <w:pPr>
        <w:keepNext w:val="0"/>
        <w:keepLines w:val="0"/>
        <w:pageBreakBefore w:val="0"/>
        <w:widowControl w:val="0"/>
        <w:kinsoku/>
        <w:wordWrap/>
        <w:overflowPunct/>
        <w:topLinePunct w:val="0"/>
        <w:autoSpaceDE/>
        <w:autoSpaceDN/>
        <w:bidi w:val="0"/>
        <w:adjustRightInd/>
        <w:snapToGrid/>
        <w:spacing w:line="560" w:lineRule="exact"/>
        <w:ind w:firstLine="5600" w:firstLineChars="20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600" w:firstLineChars="20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 xml:space="preserve"> 2026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4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30</w:t>
      </w:r>
      <w:bookmarkStart w:id="0" w:name="_GoBack"/>
      <w:bookmarkEnd w:id="0"/>
      <w:r>
        <w:rPr>
          <w:rFonts w:hint="eastAsia" w:ascii="仿宋" w:hAnsi="仿宋" w:eastAsia="仿宋" w:cs="楷体_GB2312"/>
          <w:color w:val="000000"/>
          <w:sz w:val="28"/>
          <w:szCs w:val="28"/>
        </w:rPr>
        <w:t>日</w:t>
      </w:r>
    </w:p>
    <w:p w14:paraId="6E529D29">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2F1F52A7">
      <w:pPr>
        <w:pStyle w:val="2"/>
        <w:ind w:left="0" w:leftChars="0" w:firstLine="0" w:firstLineChars="0"/>
        <w:rPr>
          <w:rFonts w:hint="eastAsia" w:ascii="仿宋" w:hAnsi="仿宋" w:eastAsia="仿宋" w:cs="楷体_GB2312"/>
          <w:color w:val="000000"/>
          <w:sz w:val="28"/>
          <w:szCs w:val="28"/>
        </w:rPr>
      </w:pPr>
    </w:p>
    <w:p w14:paraId="1859CFD7">
      <w:pPr>
        <w:textAlignment w:val="baseline"/>
        <w:rPr>
          <w:rFonts w:hint="eastAsia" w:ascii="仿宋" w:hAnsi="仿宋" w:eastAsia="仿宋" w:cs="仿宋"/>
          <w:color w:val="000000"/>
          <w:sz w:val="28"/>
          <w:szCs w:val="28"/>
        </w:rPr>
      </w:pPr>
    </w:p>
    <w:p w14:paraId="537D95DC">
      <w:pPr>
        <w:textAlignment w:val="baseline"/>
        <w:rPr>
          <w:rFonts w:hint="eastAsia" w:ascii="仿宋" w:hAnsi="仿宋" w:eastAsia="仿宋" w:cs="仿宋"/>
          <w:color w:val="000000"/>
          <w:sz w:val="28"/>
          <w:szCs w:val="28"/>
        </w:rPr>
      </w:pPr>
    </w:p>
    <w:p w14:paraId="0D4C648D">
      <w:pPr>
        <w:textAlignment w:val="baseline"/>
        <w:rPr>
          <w:rFonts w:hint="eastAsia" w:ascii="仿宋" w:hAnsi="仿宋" w:eastAsia="仿宋" w:cs="仿宋"/>
          <w:color w:val="000000"/>
          <w:sz w:val="28"/>
          <w:szCs w:val="28"/>
        </w:rPr>
      </w:pPr>
    </w:p>
    <w:p w14:paraId="1F78C97A">
      <w:pPr>
        <w:textAlignment w:val="baseline"/>
        <w:rPr>
          <w:rFonts w:hint="eastAsia" w:ascii="仿宋" w:hAnsi="仿宋" w:eastAsia="仿宋" w:cs="仿宋"/>
          <w:color w:val="000000"/>
          <w:sz w:val="28"/>
          <w:szCs w:val="28"/>
        </w:rPr>
      </w:pPr>
    </w:p>
    <w:p w14:paraId="0331001D">
      <w:pPr>
        <w:textAlignment w:val="baseline"/>
        <w:rPr>
          <w:rFonts w:hint="eastAsia" w:ascii="仿宋" w:hAnsi="仿宋" w:eastAsia="仿宋" w:cs="仿宋"/>
          <w:b/>
          <w:bCs/>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0244E51B">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tbl>
      <w:tblPr>
        <w:tblStyle w:val="9"/>
        <w:tblpPr w:leftFromText="180" w:rightFromText="180" w:vertAnchor="text" w:horzAnchor="page" w:tblpX="413" w:tblpY="500"/>
        <w:tblOverlap w:val="never"/>
        <w:tblW w:w="10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550"/>
        <w:gridCol w:w="2425"/>
        <w:gridCol w:w="850"/>
        <w:gridCol w:w="1213"/>
        <w:gridCol w:w="737"/>
        <w:gridCol w:w="1100"/>
        <w:gridCol w:w="1886"/>
      </w:tblGrid>
      <w:tr w14:paraId="02F9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546522D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550" w:type="dxa"/>
            <w:shd w:val="clear" w:color="auto" w:fill="auto"/>
            <w:noWrap/>
            <w:vAlign w:val="center"/>
          </w:tcPr>
          <w:p w14:paraId="74A0F7D6">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2425" w:type="dxa"/>
            <w:shd w:val="clear" w:color="auto" w:fill="auto"/>
            <w:noWrap/>
            <w:vAlign w:val="center"/>
          </w:tcPr>
          <w:p w14:paraId="72FFDCF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850" w:type="dxa"/>
            <w:shd w:val="clear" w:color="auto" w:fill="auto"/>
            <w:noWrap/>
            <w:vAlign w:val="center"/>
          </w:tcPr>
          <w:p w14:paraId="40C2E564">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213" w:type="dxa"/>
            <w:shd w:val="clear" w:color="auto" w:fill="auto"/>
            <w:noWrap/>
            <w:vAlign w:val="center"/>
          </w:tcPr>
          <w:p w14:paraId="76579761">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737" w:type="dxa"/>
            <w:shd w:val="clear" w:color="auto" w:fill="auto"/>
            <w:noWrap/>
            <w:vAlign w:val="center"/>
          </w:tcPr>
          <w:p w14:paraId="6F6EC77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100" w:type="dxa"/>
            <w:shd w:val="clear" w:color="auto" w:fill="auto"/>
            <w:noWrap/>
            <w:vAlign w:val="center"/>
          </w:tcPr>
          <w:p w14:paraId="6502442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886" w:type="dxa"/>
            <w:shd w:val="clear" w:color="auto" w:fill="auto"/>
            <w:noWrap/>
            <w:vAlign w:val="center"/>
          </w:tcPr>
          <w:p w14:paraId="5B8D5F3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1704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6F2C140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550" w:type="dxa"/>
            <w:shd w:val="clear" w:color="auto" w:fill="auto"/>
            <w:noWrap/>
            <w:vAlign w:val="center"/>
          </w:tcPr>
          <w:p w14:paraId="4069A238">
            <w:pPr>
              <w:widowControl/>
              <w:jc w:val="center"/>
              <w:textAlignment w:val="baseline"/>
              <w:rPr>
                <w:rFonts w:hint="default"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7138DC30">
            <w:pPr>
              <w:keepNext w:val="0"/>
              <w:keepLines w:val="0"/>
              <w:widowControl/>
              <w:suppressLineNumbers w:val="0"/>
              <w:jc w:val="left"/>
              <w:textAlignment w:val="center"/>
              <w:rPr>
                <w:rFonts w:hint="default"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S20-250KVA 10/0.4KV</w:t>
            </w:r>
          </w:p>
        </w:tc>
        <w:tc>
          <w:tcPr>
            <w:tcW w:w="850" w:type="dxa"/>
            <w:shd w:val="clear" w:color="auto" w:fill="auto"/>
            <w:noWrap/>
            <w:vAlign w:val="center"/>
          </w:tcPr>
          <w:p w14:paraId="336C8BA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0149A6E4">
            <w:pPr>
              <w:keepNext w:val="0"/>
              <w:keepLines w:val="0"/>
              <w:widowControl/>
              <w:suppressLineNumbers w:val="0"/>
              <w:jc w:val="center"/>
              <w:textAlignment w:val="center"/>
              <w:rPr>
                <w:rFonts w:hint="default"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737" w:type="dxa"/>
            <w:shd w:val="clear" w:color="auto" w:fill="auto"/>
            <w:noWrap/>
            <w:vAlign w:val="center"/>
          </w:tcPr>
          <w:p w14:paraId="437C76A1">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21A0E6FA">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5A4982FC">
            <w:pPr>
              <w:widowControl/>
              <w:jc w:val="center"/>
              <w:textAlignment w:val="baseline"/>
              <w:rPr>
                <w:rFonts w:hint="default" w:ascii="仿宋" w:hAnsi="仿宋" w:eastAsia="仿宋" w:cs="楷体_GB2312"/>
                <w:color w:val="000000"/>
                <w:sz w:val="24"/>
                <w:szCs w:val="24"/>
                <w:lang w:val="en-US" w:eastAsia="zh-CN"/>
              </w:rPr>
            </w:pPr>
          </w:p>
        </w:tc>
      </w:tr>
      <w:tr w14:paraId="1496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5233104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550" w:type="dxa"/>
            <w:shd w:val="clear" w:color="auto" w:fill="auto"/>
            <w:noWrap/>
            <w:vAlign w:val="center"/>
          </w:tcPr>
          <w:p w14:paraId="02A81428">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7DA3E869">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S20-160KVA 10/0.4KV</w:t>
            </w:r>
          </w:p>
        </w:tc>
        <w:tc>
          <w:tcPr>
            <w:tcW w:w="850" w:type="dxa"/>
            <w:shd w:val="clear" w:color="auto" w:fill="auto"/>
            <w:noWrap/>
            <w:vAlign w:val="center"/>
          </w:tcPr>
          <w:p w14:paraId="2941601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7CFCA25C">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7" w:type="dxa"/>
            <w:shd w:val="clear" w:color="auto" w:fill="auto"/>
            <w:noWrap/>
            <w:vAlign w:val="center"/>
          </w:tcPr>
          <w:p w14:paraId="309AC982">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233DF22E">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467E293D">
            <w:pPr>
              <w:widowControl/>
              <w:jc w:val="center"/>
              <w:textAlignment w:val="baseline"/>
              <w:rPr>
                <w:rFonts w:hint="eastAsia" w:ascii="仿宋" w:hAnsi="仿宋" w:eastAsia="仿宋" w:cs="楷体_GB2312"/>
                <w:color w:val="000000"/>
                <w:sz w:val="24"/>
                <w:szCs w:val="24"/>
                <w:lang w:val="en-US" w:eastAsia="zh-CN"/>
              </w:rPr>
            </w:pPr>
          </w:p>
        </w:tc>
      </w:tr>
      <w:tr w14:paraId="670A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7680157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550" w:type="dxa"/>
            <w:shd w:val="clear" w:color="auto" w:fill="auto"/>
            <w:noWrap/>
            <w:vAlign w:val="center"/>
          </w:tcPr>
          <w:p w14:paraId="185AB0C0">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7D859271">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S20-125KVA 10/0.4KV</w:t>
            </w:r>
          </w:p>
        </w:tc>
        <w:tc>
          <w:tcPr>
            <w:tcW w:w="850" w:type="dxa"/>
            <w:shd w:val="clear" w:color="auto" w:fill="auto"/>
            <w:noWrap/>
            <w:vAlign w:val="center"/>
          </w:tcPr>
          <w:p w14:paraId="23974F8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48C94445">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737" w:type="dxa"/>
            <w:shd w:val="clear" w:color="auto" w:fill="auto"/>
            <w:noWrap/>
            <w:vAlign w:val="center"/>
          </w:tcPr>
          <w:p w14:paraId="00D64DBB">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73CEB118">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77F9592B">
            <w:pPr>
              <w:widowControl/>
              <w:jc w:val="center"/>
              <w:textAlignment w:val="baseline"/>
              <w:rPr>
                <w:rFonts w:hint="eastAsia" w:ascii="仿宋" w:hAnsi="仿宋" w:eastAsia="仿宋" w:cs="楷体_GB2312"/>
                <w:color w:val="000000"/>
                <w:sz w:val="24"/>
                <w:szCs w:val="24"/>
                <w:lang w:val="en-US" w:eastAsia="zh-CN"/>
              </w:rPr>
            </w:pPr>
          </w:p>
        </w:tc>
      </w:tr>
      <w:tr w14:paraId="3A61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5EF3D16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550" w:type="dxa"/>
            <w:shd w:val="clear" w:color="auto" w:fill="auto"/>
            <w:noWrap/>
            <w:vAlign w:val="center"/>
          </w:tcPr>
          <w:p w14:paraId="3EF95A8E">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4A4E50E1">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S20-100KVA 10/0.4KV</w:t>
            </w:r>
          </w:p>
        </w:tc>
        <w:tc>
          <w:tcPr>
            <w:tcW w:w="850" w:type="dxa"/>
            <w:shd w:val="clear" w:color="auto" w:fill="auto"/>
            <w:noWrap/>
            <w:vAlign w:val="center"/>
          </w:tcPr>
          <w:p w14:paraId="1AF820A0">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4E6F4DBD">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737" w:type="dxa"/>
            <w:shd w:val="clear" w:color="auto" w:fill="auto"/>
            <w:noWrap/>
            <w:vAlign w:val="center"/>
          </w:tcPr>
          <w:p w14:paraId="2CFB13EF">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49E01713">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34F83C3B">
            <w:pPr>
              <w:widowControl/>
              <w:jc w:val="center"/>
              <w:textAlignment w:val="baseline"/>
              <w:rPr>
                <w:rFonts w:hint="eastAsia" w:ascii="仿宋" w:hAnsi="仿宋" w:eastAsia="仿宋" w:cs="楷体_GB2312"/>
                <w:color w:val="000000"/>
                <w:sz w:val="24"/>
                <w:szCs w:val="24"/>
                <w:lang w:val="en-US" w:eastAsia="zh-CN"/>
              </w:rPr>
            </w:pPr>
          </w:p>
        </w:tc>
      </w:tr>
      <w:tr w14:paraId="18F1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0CEDDBC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550" w:type="dxa"/>
            <w:shd w:val="clear" w:color="auto" w:fill="auto"/>
            <w:noWrap/>
            <w:vAlign w:val="center"/>
          </w:tcPr>
          <w:p w14:paraId="3E0D7B0A">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0EC1D59E">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S20-80KVA 10/0.4KV</w:t>
            </w:r>
          </w:p>
        </w:tc>
        <w:tc>
          <w:tcPr>
            <w:tcW w:w="850" w:type="dxa"/>
            <w:shd w:val="clear" w:color="auto" w:fill="auto"/>
            <w:noWrap/>
            <w:vAlign w:val="center"/>
          </w:tcPr>
          <w:p w14:paraId="3E23F78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6BEB35E1">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7" w:type="dxa"/>
            <w:shd w:val="clear" w:color="auto" w:fill="auto"/>
            <w:noWrap/>
            <w:vAlign w:val="center"/>
          </w:tcPr>
          <w:p w14:paraId="798B8B8E">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63496C5B">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61A61DC7">
            <w:pPr>
              <w:widowControl/>
              <w:jc w:val="center"/>
              <w:textAlignment w:val="baseline"/>
              <w:rPr>
                <w:rFonts w:hint="eastAsia" w:ascii="仿宋" w:hAnsi="仿宋" w:eastAsia="仿宋" w:cs="楷体_GB2312"/>
                <w:color w:val="000000"/>
                <w:sz w:val="24"/>
                <w:szCs w:val="24"/>
                <w:lang w:val="en-US" w:eastAsia="zh-CN"/>
              </w:rPr>
            </w:pPr>
          </w:p>
        </w:tc>
      </w:tr>
      <w:tr w14:paraId="3D29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17F77FA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550" w:type="dxa"/>
            <w:shd w:val="clear" w:color="auto" w:fill="auto"/>
            <w:noWrap/>
            <w:vAlign w:val="center"/>
          </w:tcPr>
          <w:p w14:paraId="50D12DAA">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3D6A06DC">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S20-50KVA 10/0.4KV</w:t>
            </w:r>
          </w:p>
        </w:tc>
        <w:tc>
          <w:tcPr>
            <w:tcW w:w="850" w:type="dxa"/>
            <w:shd w:val="clear" w:color="auto" w:fill="auto"/>
            <w:noWrap/>
            <w:vAlign w:val="center"/>
          </w:tcPr>
          <w:p w14:paraId="38407A5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18468D26">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737" w:type="dxa"/>
            <w:shd w:val="clear" w:color="auto" w:fill="auto"/>
            <w:noWrap/>
            <w:vAlign w:val="center"/>
          </w:tcPr>
          <w:p w14:paraId="7F06E336">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1BBDF842">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7003E357">
            <w:pPr>
              <w:widowControl/>
              <w:jc w:val="center"/>
              <w:textAlignment w:val="baseline"/>
              <w:rPr>
                <w:rFonts w:hint="eastAsia" w:ascii="仿宋" w:hAnsi="仿宋" w:eastAsia="仿宋" w:cs="楷体_GB2312"/>
                <w:color w:val="000000"/>
                <w:sz w:val="24"/>
                <w:szCs w:val="24"/>
                <w:lang w:val="en-US" w:eastAsia="zh-CN"/>
              </w:rPr>
            </w:pPr>
          </w:p>
        </w:tc>
      </w:tr>
      <w:tr w14:paraId="4345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76E2F27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550" w:type="dxa"/>
            <w:shd w:val="clear" w:color="auto" w:fill="auto"/>
            <w:noWrap/>
            <w:vAlign w:val="center"/>
          </w:tcPr>
          <w:p w14:paraId="6E582A49">
            <w:pPr>
              <w:widowControl/>
              <w:jc w:val="center"/>
              <w:textAlignment w:val="baseline"/>
              <w:rPr>
                <w:rFonts w:hint="default" w:ascii="仿宋" w:hAnsi="仿宋" w:eastAsia="仿宋" w:cs="楷体_GB2312"/>
                <w:color w:val="000000"/>
                <w:kern w:val="2"/>
                <w:sz w:val="24"/>
                <w:szCs w:val="24"/>
                <w:lang w:val="en-US" w:eastAsia="zh-CN" w:bidi="ar-SA"/>
              </w:rPr>
            </w:pPr>
            <w:r>
              <w:rPr>
                <w:rFonts w:hint="eastAsia" w:ascii="仿宋" w:hAnsi="仿宋" w:eastAsia="仿宋" w:cs="楷体_GB2312"/>
                <w:color w:val="000000"/>
                <w:kern w:val="2"/>
                <w:sz w:val="24"/>
                <w:szCs w:val="24"/>
                <w:lang w:val="en-US" w:eastAsia="zh-CN" w:bidi="ar-SA"/>
              </w:rPr>
              <w:t>美式箱变（含配套设备）</w:t>
            </w:r>
          </w:p>
        </w:tc>
        <w:tc>
          <w:tcPr>
            <w:tcW w:w="2425" w:type="dxa"/>
            <w:shd w:val="clear" w:color="auto" w:fill="auto"/>
            <w:noWrap/>
            <w:vAlign w:val="center"/>
          </w:tcPr>
          <w:p w14:paraId="00362D3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ZGS-315KVA 10/0.4kv终端型</w:t>
            </w:r>
          </w:p>
        </w:tc>
        <w:tc>
          <w:tcPr>
            <w:tcW w:w="850" w:type="dxa"/>
            <w:shd w:val="clear" w:color="auto" w:fill="auto"/>
            <w:noWrap/>
            <w:vAlign w:val="center"/>
          </w:tcPr>
          <w:p w14:paraId="36A83D7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49CF92F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737" w:type="dxa"/>
            <w:shd w:val="clear" w:color="auto" w:fill="auto"/>
            <w:noWrap/>
            <w:vAlign w:val="center"/>
          </w:tcPr>
          <w:p w14:paraId="41B3DC7E">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60488798">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7A31069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终端型-S20铜 美变315KVA内配：进线总开关M1-630/3P 630A手动，出线3路：630A*1+400*2断路器，有补偿、选用小型断路器、复合开关、电容器分共补动态样式配置，开关元件以及其它辅料附件由公司标准配置，其中不含计量表计、采集终端预留其安装位置</w:t>
            </w:r>
          </w:p>
        </w:tc>
      </w:tr>
      <w:tr w14:paraId="315C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44451F4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550" w:type="dxa"/>
            <w:shd w:val="clear" w:color="auto" w:fill="auto"/>
            <w:noWrap/>
            <w:vAlign w:val="center"/>
          </w:tcPr>
          <w:p w14:paraId="02822E98">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kern w:val="2"/>
                <w:sz w:val="24"/>
                <w:szCs w:val="24"/>
                <w:lang w:val="en-US" w:eastAsia="zh-CN" w:bidi="ar-SA"/>
              </w:rPr>
              <w:t>美式箱变（含配套设备）</w:t>
            </w:r>
          </w:p>
        </w:tc>
        <w:tc>
          <w:tcPr>
            <w:tcW w:w="2425" w:type="dxa"/>
            <w:shd w:val="clear" w:color="auto" w:fill="auto"/>
            <w:noWrap/>
            <w:vAlign w:val="center"/>
          </w:tcPr>
          <w:p w14:paraId="5147066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ZGS-200KVA 10/0.4kv终端型</w:t>
            </w:r>
          </w:p>
        </w:tc>
        <w:tc>
          <w:tcPr>
            <w:tcW w:w="850" w:type="dxa"/>
            <w:shd w:val="clear" w:color="auto" w:fill="auto"/>
            <w:noWrap/>
            <w:vAlign w:val="center"/>
          </w:tcPr>
          <w:p w14:paraId="0DABB24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50EEFD1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737" w:type="dxa"/>
            <w:shd w:val="clear" w:color="auto" w:fill="auto"/>
            <w:noWrap/>
            <w:vAlign w:val="center"/>
          </w:tcPr>
          <w:p w14:paraId="3CB1EBF2">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5AD6169A">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58D43E5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终端型-S20铜 美变200KVA内配：进线总开关M1-400/3P 400A手动，出线3路：400A*1+200*2断路器，有补偿、选用小型断路器、复合开关、电容器分共补动态样式配置，开关元件以及其它辅料附件由公司标准配置，其中不含计量表计、采集终端预留其安装位置</w:t>
            </w:r>
          </w:p>
        </w:tc>
      </w:tr>
      <w:tr w14:paraId="3E59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14B4F97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550" w:type="dxa"/>
            <w:shd w:val="clear" w:color="auto" w:fill="auto"/>
            <w:noWrap/>
            <w:vAlign w:val="center"/>
          </w:tcPr>
          <w:p w14:paraId="78883CCB">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kern w:val="2"/>
                <w:sz w:val="24"/>
                <w:szCs w:val="24"/>
                <w:lang w:val="en-US" w:eastAsia="zh-CN" w:bidi="ar-SA"/>
              </w:rPr>
              <w:t>美式箱变（含配套设备）</w:t>
            </w:r>
          </w:p>
        </w:tc>
        <w:tc>
          <w:tcPr>
            <w:tcW w:w="2425" w:type="dxa"/>
            <w:shd w:val="clear" w:color="auto" w:fill="auto"/>
            <w:noWrap/>
            <w:vAlign w:val="center"/>
          </w:tcPr>
          <w:p w14:paraId="29E380A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ZGS-100KVA 10/0.4kv终端型</w:t>
            </w:r>
          </w:p>
        </w:tc>
        <w:tc>
          <w:tcPr>
            <w:tcW w:w="850" w:type="dxa"/>
            <w:shd w:val="clear" w:color="auto" w:fill="auto"/>
            <w:noWrap/>
            <w:vAlign w:val="center"/>
          </w:tcPr>
          <w:p w14:paraId="162D052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4ED3F9C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737" w:type="dxa"/>
            <w:shd w:val="clear" w:color="auto" w:fill="auto"/>
            <w:noWrap/>
            <w:vAlign w:val="center"/>
          </w:tcPr>
          <w:p w14:paraId="469A73D2">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68EDD110">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61C3488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终端型-S20铜 美变100KVA内配：进线总开关M1-250/3P 200A手动，出线3路：200A*1+100*2断路器，有补偿、选用小型断路器、复合开关、电容器分共补动态样式配置，开关元件以及其它辅料附件由公司标准配置，其中不含计量表计、采集终端预留其安装位置</w:t>
            </w:r>
          </w:p>
        </w:tc>
      </w:tr>
      <w:tr w14:paraId="5D21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1444329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550" w:type="dxa"/>
            <w:shd w:val="clear" w:color="auto" w:fill="auto"/>
            <w:noWrap/>
            <w:vAlign w:val="center"/>
          </w:tcPr>
          <w:p w14:paraId="02CCD324">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kern w:val="2"/>
                <w:sz w:val="24"/>
                <w:szCs w:val="24"/>
                <w:lang w:val="en-US" w:eastAsia="zh-CN" w:bidi="ar-SA"/>
              </w:rPr>
              <w:t>美式箱变（含配套设备）</w:t>
            </w:r>
          </w:p>
        </w:tc>
        <w:tc>
          <w:tcPr>
            <w:tcW w:w="2425" w:type="dxa"/>
            <w:shd w:val="clear" w:color="auto" w:fill="auto"/>
            <w:noWrap/>
            <w:vAlign w:val="center"/>
          </w:tcPr>
          <w:p w14:paraId="5A36848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ZGS-50KVA 10/0.4kv终端型</w:t>
            </w:r>
          </w:p>
        </w:tc>
        <w:tc>
          <w:tcPr>
            <w:tcW w:w="850" w:type="dxa"/>
            <w:shd w:val="clear" w:color="auto" w:fill="auto"/>
            <w:noWrap/>
            <w:vAlign w:val="center"/>
          </w:tcPr>
          <w:p w14:paraId="572E95C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6D3B999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737" w:type="dxa"/>
            <w:shd w:val="clear" w:color="auto" w:fill="auto"/>
            <w:noWrap/>
            <w:vAlign w:val="center"/>
          </w:tcPr>
          <w:p w14:paraId="4F321A8D">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3DA97AA1">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7DA3EAC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终端型-S20铜 美变50KVA内配：进线总开关M1-125/3P 100A手动，出线3路：100A*1+63*2断路器，有补偿、选用小型断路器、复合开关、电容器分共补动态样式配置，开关元件以及其它辅料附件由公司标准配置，其中不含计量表计、采集终端预留其安装位置</w:t>
            </w:r>
          </w:p>
        </w:tc>
      </w:tr>
      <w:tr w14:paraId="1DE8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411" w:type="dxa"/>
            <w:gridSpan w:val="2"/>
            <w:shd w:val="clear" w:color="auto" w:fill="auto"/>
            <w:noWrap/>
            <w:vAlign w:val="center"/>
          </w:tcPr>
          <w:p w14:paraId="160CD69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225" w:type="dxa"/>
            <w:gridSpan w:val="4"/>
            <w:shd w:val="clear" w:color="auto" w:fill="auto"/>
            <w:noWrap/>
            <w:vAlign w:val="center"/>
          </w:tcPr>
          <w:p w14:paraId="6A7035B0">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4B52F08B">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3C1AD310">
            <w:pPr>
              <w:widowControl/>
              <w:jc w:val="center"/>
              <w:textAlignment w:val="baseline"/>
              <w:rPr>
                <w:rFonts w:hint="eastAsia" w:ascii="仿宋" w:hAnsi="仿宋" w:eastAsia="仿宋" w:cs="楷体_GB2312"/>
                <w:color w:val="000000"/>
                <w:sz w:val="24"/>
                <w:szCs w:val="24"/>
                <w:lang w:val="en-US" w:eastAsia="zh-CN"/>
              </w:rPr>
            </w:pPr>
          </w:p>
        </w:tc>
      </w:tr>
      <w:tr w14:paraId="5976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622" w:type="dxa"/>
            <w:gridSpan w:val="8"/>
            <w:shd w:val="clear" w:color="auto" w:fill="auto"/>
            <w:noWrap/>
            <w:vAlign w:val="center"/>
          </w:tcPr>
          <w:p w14:paraId="581EF704">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说明：1、以上报价含13%增值税、含运费(</w:t>
            </w:r>
            <w:r>
              <w:rPr>
                <w:rFonts w:hint="eastAsia" w:ascii="仿宋" w:hAnsi="仿宋" w:eastAsia="仿宋" w:cs="仿宋"/>
                <w:sz w:val="24"/>
                <w:szCs w:val="24"/>
                <w:lang w:val="en-US" w:eastAsia="zh-CN"/>
              </w:rPr>
              <w:t>至</w:t>
            </w:r>
            <w:r>
              <w:rPr>
                <w:rFonts w:hint="eastAsia" w:ascii="仿宋" w:hAnsi="仿宋" w:eastAsia="仿宋" w:cs="仿宋"/>
                <w:sz w:val="24"/>
                <w:szCs w:val="24"/>
                <w:lang w:eastAsia="zh-CN"/>
              </w:rPr>
              <w:t>淮南</w:t>
            </w:r>
            <w:r>
              <w:rPr>
                <w:rFonts w:hint="eastAsia" w:ascii="仿宋" w:hAnsi="仿宋" w:eastAsia="仿宋" w:cs="仿宋"/>
                <w:sz w:val="24"/>
                <w:szCs w:val="24"/>
                <w:lang w:val="en-US" w:eastAsia="zh-CN"/>
              </w:rPr>
              <w:t>淮南市市区境内指定位置</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卸车费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生产计划以现场实际需求而定。</w:t>
            </w:r>
          </w:p>
          <w:p w14:paraId="0B251D6F">
            <w:pPr>
              <w:bidi w:val="0"/>
              <w:ind w:firstLine="720" w:firstLineChars="300"/>
              <w:rPr>
                <w:rFonts w:hint="eastAsia" w:ascii="仿宋" w:hAnsi="仿宋" w:eastAsia="仿宋" w:cs="仿宋"/>
                <w:sz w:val="24"/>
                <w:szCs w:val="24"/>
                <w:lang w:eastAsia="zh-CN"/>
              </w:rPr>
            </w:pPr>
            <w:r>
              <w:rPr>
                <w:rFonts w:hint="eastAsia" w:ascii="仿宋" w:hAnsi="仿宋" w:eastAsia="仿宋" w:cs="仿宋"/>
                <w:sz w:val="24"/>
                <w:szCs w:val="24"/>
                <w:lang w:eastAsia="zh-CN"/>
              </w:rPr>
              <w:t>3、本报价开关元件以及其它辅料附件由</w:t>
            </w:r>
            <w:r>
              <w:rPr>
                <w:rFonts w:hint="eastAsia" w:ascii="仿宋" w:hAnsi="仿宋" w:eastAsia="仿宋" w:cs="仿宋"/>
                <w:sz w:val="24"/>
                <w:szCs w:val="24"/>
                <w:lang w:val="en-US" w:eastAsia="zh-CN"/>
              </w:rPr>
              <w:t>报价</w:t>
            </w:r>
            <w:r>
              <w:rPr>
                <w:rFonts w:hint="eastAsia" w:ascii="仿宋" w:hAnsi="仿宋" w:eastAsia="仿宋" w:cs="仿宋"/>
                <w:sz w:val="24"/>
                <w:szCs w:val="24"/>
                <w:lang w:eastAsia="zh-CN"/>
              </w:rPr>
              <w:t xml:space="preserve">公司标准配置，其中不含计量表计、采集终端预留其安装位置。        </w:t>
            </w:r>
          </w:p>
          <w:p w14:paraId="1A543F24">
            <w:pPr>
              <w:bidi w:val="0"/>
              <w:ind w:firstLine="720" w:firstLineChars="300"/>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4、电容补偿(30%)：选用小型断路器、 复合开关、电力电容器分共补动态样式配置。        </w:t>
            </w:r>
          </w:p>
          <w:p w14:paraId="0716E6A4">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sz w:val="24"/>
                <w:szCs w:val="24"/>
                <w:lang w:eastAsia="zh-CN"/>
              </w:rPr>
              <w:t>5、外壳选用冷轧铁板喷塑（颜色国网绿）,变压器采用S20全铜材质。</w:t>
            </w:r>
            <w:r>
              <w:rPr>
                <w:rFonts w:hint="eastAsia" w:ascii="仿宋" w:hAnsi="仿宋" w:eastAsia="仿宋" w:cs="仿宋"/>
                <w:sz w:val="24"/>
                <w:szCs w:val="24"/>
                <w:lang w:val="en-US" w:eastAsia="zh-CN"/>
              </w:rPr>
              <w:t>质保期为设备安装完成，验收合格之日起2年。</w:t>
            </w:r>
            <w:r>
              <w:rPr>
                <w:rFonts w:hint="eastAsia" w:ascii="仿宋" w:hAnsi="仿宋" w:eastAsia="仿宋" w:cs="仿宋"/>
                <w:sz w:val="24"/>
                <w:szCs w:val="24"/>
                <w:lang w:eastAsia="zh-CN"/>
              </w:rPr>
              <w:t xml:space="preserve">       </w:t>
            </w:r>
          </w:p>
        </w:tc>
      </w:tr>
    </w:tbl>
    <w:p w14:paraId="65DA603E">
      <w:pPr>
        <w:pStyle w:val="2"/>
        <w:rPr>
          <w:rFonts w:hint="eastAsia"/>
          <w:lang w:eastAsia="zh-CN"/>
        </w:rPr>
      </w:pPr>
    </w:p>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57E4A33">
      <w:pPr>
        <w:textAlignment w:val="baseline"/>
        <w:rPr>
          <w:rFonts w:hint="eastAsia" w:ascii="仿宋" w:hAnsi="仿宋" w:eastAsia="仿宋" w:cs="楷体_GB2312"/>
          <w:color w:val="000000"/>
          <w:sz w:val="28"/>
          <w:szCs w:val="28"/>
          <w:lang w:eastAsia="zh-CN"/>
        </w:rPr>
      </w:pPr>
    </w:p>
    <w:p w14:paraId="68474B87">
      <w:pPr>
        <w:textAlignment w:val="baseline"/>
        <w:rPr>
          <w:rFonts w:hint="eastAsia" w:ascii="仿宋" w:hAnsi="仿宋" w:eastAsia="仿宋" w:cs="楷体_GB2312"/>
          <w:color w:val="000000"/>
          <w:sz w:val="28"/>
          <w:szCs w:val="28"/>
          <w:lang w:eastAsia="zh-CN"/>
        </w:rPr>
      </w:pPr>
    </w:p>
    <w:p w14:paraId="75E1C702">
      <w:pPr>
        <w:textAlignment w:val="baseline"/>
        <w:rPr>
          <w:rFonts w:hint="eastAsia" w:ascii="仿宋" w:hAnsi="仿宋" w:eastAsia="仿宋" w:cs="楷体_GB2312"/>
          <w:color w:val="000000"/>
          <w:sz w:val="28"/>
          <w:szCs w:val="28"/>
          <w:lang w:eastAsia="zh-CN"/>
        </w:rPr>
      </w:pPr>
    </w:p>
    <w:p w14:paraId="73807DF7">
      <w:pPr>
        <w:textAlignment w:val="baseline"/>
        <w:rPr>
          <w:rFonts w:hint="eastAsia" w:ascii="仿宋" w:hAnsi="仿宋" w:eastAsia="仿宋" w:cs="楷体_GB2312"/>
          <w:color w:val="000000"/>
          <w:sz w:val="28"/>
          <w:szCs w:val="28"/>
          <w:lang w:eastAsia="zh-CN"/>
        </w:rPr>
      </w:pPr>
    </w:p>
    <w:p w14:paraId="00AD4121">
      <w:pPr>
        <w:textAlignment w:val="baseline"/>
        <w:rPr>
          <w:rFonts w:hint="eastAsia" w:ascii="仿宋" w:hAnsi="仿宋" w:eastAsia="仿宋" w:cs="楷体_GB2312"/>
          <w:color w:val="000000"/>
          <w:sz w:val="28"/>
          <w:szCs w:val="28"/>
          <w:lang w:eastAsia="zh-CN"/>
        </w:rPr>
      </w:pPr>
    </w:p>
    <w:p w14:paraId="2303993C">
      <w:pPr>
        <w:textAlignment w:val="baseline"/>
        <w:rPr>
          <w:rFonts w:hint="eastAsia" w:ascii="仿宋" w:hAnsi="仿宋" w:eastAsia="仿宋" w:cs="楷体_GB2312"/>
          <w:color w:val="000000"/>
          <w:sz w:val="28"/>
          <w:szCs w:val="28"/>
          <w:lang w:eastAsia="zh-CN"/>
        </w:rPr>
      </w:pPr>
    </w:p>
    <w:p w14:paraId="39508573">
      <w:pPr>
        <w:textAlignment w:val="baseline"/>
        <w:rPr>
          <w:rFonts w:hint="eastAsia" w:ascii="仿宋" w:hAnsi="仿宋" w:eastAsia="仿宋" w:cs="楷体_GB2312"/>
          <w:color w:val="000000"/>
          <w:sz w:val="28"/>
          <w:szCs w:val="28"/>
          <w:lang w:eastAsia="zh-CN"/>
        </w:rPr>
      </w:pPr>
    </w:p>
    <w:p w14:paraId="0E04BBA1">
      <w:pPr>
        <w:textAlignment w:val="baseline"/>
        <w:rPr>
          <w:rFonts w:hint="eastAsia" w:ascii="仿宋" w:hAnsi="仿宋" w:eastAsia="仿宋" w:cs="楷体_GB2312"/>
          <w:color w:val="000000"/>
          <w:sz w:val="28"/>
          <w:szCs w:val="28"/>
          <w:lang w:eastAsia="zh-CN"/>
        </w:rPr>
      </w:pPr>
    </w:p>
    <w:p w14:paraId="4BE95DA7">
      <w:pPr>
        <w:textAlignment w:val="baseline"/>
        <w:rPr>
          <w:rFonts w:hint="eastAsia" w:ascii="仿宋" w:hAnsi="仿宋" w:eastAsia="仿宋" w:cs="楷体_GB2312"/>
          <w:color w:val="000000"/>
          <w:sz w:val="28"/>
          <w:szCs w:val="28"/>
          <w:lang w:eastAsia="zh-CN"/>
        </w:rPr>
      </w:pPr>
    </w:p>
    <w:p w14:paraId="30D9551F">
      <w:pPr>
        <w:textAlignment w:val="baseline"/>
        <w:rPr>
          <w:rFonts w:hint="eastAsia" w:ascii="仿宋" w:hAnsi="仿宋" w:eastAsia="仿宋" w:cs="楷体_GB2312"/>
          <w:color w:val="000000"/>
          <w:sz w:val="28"/>
          <w:szCs w:val="28"/>
          <w:lang w:eastAsia="zh-CN"/>
        </w:rPr>
      </w:pPr>
    </w:p>
    <w:p w14:paraId="441E6E7C">
      <w:pPr>
        <w:textAlignment w:val="baseline"/>
        <w:rPr>
          <w:rFonts w:hint="eastAsia" w:ascii="仿宋" w:hAnsi="仿宋" w:eastAsia="仿宋" w:cs="楷体_GB2312"/>
          <w:color w:val="000000"/>
          <w:sz w:val="28"/>
          <w:szCs w:val="28"/>
          <w:lang w:eastAsia="zh-CN"/>
        </w:rPr>
      </w:pPr>
    </w:p>
    <w:p w14:paraId="0B103F51">
      <w:pPr>
        <w:textAlignment w:val="baseline"/>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油浸式变压器、箱式变压器</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386419B5">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油浸式变压器、箱式变压器</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F5EF382">
      <w:pPr>
        <w:pStyle w:val="2"/>
        <w:rPr>
          <w:rFonts w:hint="eastAsia" w:ascii="仿宋" w:hAnsi="仿宋" w:eastAsia="仿宋" w:cs="仿宋"/>
          <w:b/>
          <w:sz w:val="44"/>
          <w:szCs w:val="44"/>
        </w:rPr>
      </w:pPr>
    </w:p>
    <w:p w14:paraId="43CCACF5">
      <w:pPr>
        <w:rPr>
          <w:rFonts w:hint="eastAsia" w:ascii="仿宋" w:hAnsi="仿宋" w:eastAsia="仿宋" w:cs="仿宋"/>
          <w:b/>
          <w:sz w:val="44"/>
          <w:szCs w:val="44"/>
        </w:rPr>
      </w:pPr>
    </w:p>
    <w:p w14:paraId="70AD04E0">
      <w:pPr>
        <w:pStyle w:val="2"/>
        <w:ind w:left="0" w:leftChars="0" w:firstLine="0" w:firstLineChars="0"/>
        <w:rPr>
          <w:rFonts w:hint="eastAsia"/>
          <w:lang w:eastAsia="zh-CN"/>
        </w:rPr>
      </w:pPr>
    </w:p>
    <w:p w14:paraId="268C4D0E">
      <w:pPr>
        <w:rPr>
          <w:rFonts w:hint="eastAsia"/>
          <w:lang w:eastAsia="zh-CN"/>
        </w:rPr>
      </w:pPr>
    </w:p>
    <w:p w14:paraId="45AA3543">
      <w:pPr>
        <w:pStyle w:val="2"/>
        <w:rPr>
          <w:rFonts w:hint="eastAsia"/>
          <w:lang w:eastAsia="zh-CN"/>
        </w:rPr>
      </w:pPr>
    </w:p>
    <w:p w14:paraId="2E2ECC9F">
      <w:pPr>
        <w:keepNext w:val="0"/>
        <w:keepLines w:val="0"/>
        <w:pageBreakBefore w:val="0"/>
        <w:widowControl w:val="0"/>
        <w:kinsoku/>
        <w:wordWrap/>
        <w:overflowPunct/>
        <w:topLinePunct w:val="0"/>
        <w:autoSpaceDE/>
        <w:autoSpaceDN/>
        <w:bidi w:val="0"/>
        <w:adjustRightInd/>
        <w:snapToGrid/>
        <w:jc w:val="center"/>
        <w:textAlignment w:val="auto"/>
        <w:rPr>
          <w:rFonts w:hint="default" w:ascii="黑体" w:hAnsi="黑体" w:eastAsia="黑体" w:cs="黑体"/>
          <w:sz w:val="32"/>
          <w:szCs w:val="32"/>
          <w:u w:val="double"/>
          <w:lang w:val="en-US" w:eastAsia="zh-CN"/>
        </w:rPr>
      </w:pPr>
      <w:r>
        <w:rPr>
          <w:rFonts w:hint="default" w:ascii="黑体" w:hAnsi="黑体" w:eastAsia="黑体" w:cs="黑体"/>
          <w:sz w:val="32"/>
          <w:szCs w:val="32"/>
          <w:u w:val="double"/>
          <w:lang w:val="en-US" w:eastAsia="zh-CN"/>
        </w:rPr>
        <w:t>淮南新物源商贸有限责任公司采购合同</w:t>
      </w:r>
    </w:p>
    <w:p w14:paraId="4043A7CF">
      <w:pPr>
        <w:keepNext w:val="0"/>
        <w:keepLines w:val="0"/>
        <w:pageBreakBefore w:val="0"/>
        <w:widowControl w:val="0"/>
        <w:kinsoku/>
        <w:wordWrap/>
        <w:overflowPunct/>
        <w:topLinePunct w:val="0"/>
        <w:autoSpaceDE/>
        <w:autoSpaceDN/>
        <w:bidi w:val="0"/>
        <w:adjustRightInd/>
        <w:snapToGrid/>
        <w:jc w:val="center"/>
        <w:textAlignment w:val="auto"/>
        <w:rPr>
          <w:rFonts w:hint="default" w:ascii="黑体" w:hAnsi="黑体" w:eastAsia="黑体" w:cs="黑体"/>
          <w:sz w:val="32"/>
          <w:szCs w:val="32"/>
          <w:u w:val="double"/>
          <w:lang w:val="en-US" w:eastAsia="zh-CN"/>
        </w:rPr>
      </w:pPr>
      <w:r>
        <w:rPr>
          <w:rFonts w:hint="eastAsia" w:ascii="黑体" w:hAnsi="黑体" w:eastAsia="黑体" w:cs="黑体"/>
          <w:sz w:val="32"/>
          <w:szCs w:val="32"/>
          <w:u w:val="double"/>
          <w:lang w:val="en-US" w:eastAsia="zh-CN"/>
        </w:rPr>
        <w:t>电缆</w:t>
      </w:r>
    </w:p>
    <w:p w14:paraId="015230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甲方：</w:t>
      </w:r>
      <w:r>
        <w:rPr>
          <w:rFonts w:hint="eastAsia" w:ascii="仿宋" w:hAnsi="仿宋" w:eastAsia="仿宋" w:cs="仿宋"/>
          <w:sz w:val="32"/>
          <w:szCs w:val="32"/>
          <w:u w:val="single"/>
          <w:lang w:val="en-US" w:eastAsia="zh-CN"/>
        </w:rPr>
        <w:t>淮南新物源商贸有限责任公司</w:t>
      </w:r>
      <w:r>
        <w:rPr>
          <w:rFonts w:hint="eastAsia" w:ascii="仿宋" w:hAnsi="仿宋" w:eastAsia="仿宋" w:cs="仿宋"/>
          <w:sz w:val="32"/>
          <w:szCs w:val="32"/>
          <w:u w:val="none"/>
          <w:lang w:val="en-US" w:eastAsia="zh-CN"/>
        </w:rPr>
        <w:t>（买方）</w:t>
      </w:r>
    </w:p>
    <w:p w14:paraId="17D9F5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统一社会信用代码：</w:t>
      </w:r>
      <w:r>
        <w:rPr>
          <w:rFonts w:hint="eastAsia" w:ascii="仿宋" w:hAnsi="仿宋" w:eastAsia="仿宋" w:cs="仿宋"/>
          <w:sz w:val="32"/>
          <w:szCs w:val="32"/>
          <w:u w:val="single"/>
          <w:lang w:val="en-US" w:eastAsia="zh-CN"/>
        </w:rPr>
        <w:t>91340403MA8P685W20</w:t>
      </w:r>
    </w:p>
    <w:p w14:paraId="37817D7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法定代表人或代理人：</w:t>
      </w:r>
      <w:r>
        <w:rPr>
          <w:rFonts w:hint="eastAsia" w:ascii="仿宋" w:hAnsi="仿宋" w:eastAsia="仿宋" w:cs="仿宋"/>
          <w:sz w:val="32"/>
          <w:szCs w:val="32"/>
          <w:u w:val="single"/>
          <w:lang w:val="en-US" w:eastAsia="zh-CN"/>
        </w:rPr>
        <w:t xml:space="preserve">    </w:t>
      </w:r>
    </w:p>
    <w:p w14:paraId="336534C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联系电话：</w:t>
      </w:r>
      <w:r>
        <w:rPr>
          <w:rFonts w:hint="eastAsia" w:ascii="仿宋" w:hAnsi="仿宋" w:eastAsia="仿宋" w:cs="仿宋"/>
          <w:sz w:val="32"/>
          <w:szCs w:val="32"/>
          <w:u w:val="single"/>
          <w:lang w:val="en-US" w:eastAsia="zh-CN"/>
        </w:rPr>
        <w:t xml:space="preserve">              </w:t>
      </w:r>
    </w:p>
    <w:p w14:paraId="25D5246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地址：</w:t>
      </w:r>
      <w:r>
        <w:rPr>
          <w:rFonts w:hint="eastAsia" w:ascii="仿宋" w:hAnsi="仿宋" w:eastAsia="仿宋" w:cs="仿宋"/>
          <w:sz w:val="32"/>
          <w:szCs w:val="32"/>
          <w:u w:val="single"/>
          <w:lang w:val="en-US" w:eastAsia="zh-CN"/>
        </w:rPr>
        <w:t>安徽省淮南市山南新区智慧谷4#楼三层</w:t>
      </w:r>
    </w:p>
    <w:p w14:paraId="41A4263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卖方）</w:t>
      </w:r>
    </w:p>
    <w:p w14:paraId="1FD1CA9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统一社会信用代码：</w:t>
      </w:r>
      <w:r>
        <w:rPr>
          <w:rFonts w:hint="eastAsia" w:ascii="仿宋" w:hAnsi="仿宋" w:eastAsia="仿宋" w:cs="仿宋"/>
          <w:sz w:val="32"/>
          <w:szCs w:val="32"/>
          <w:u w:val="single"/>
          <w:lang w:val="en-US" w:eastAsia="zh-CN"/>
        </w:rPr>
        <w:t xml:space="preserve">                     </w:t>
      </w:r>
    </w:p>
    <w:p w14:paraId="011FA0C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法定代表人：</w:t>
      </w:r>
      <w:r>
        <w:rPr>
          <w:rFonts w:hint="eastAsia" w:ascii="仿宋" w:hAnsi="仿宋" w:eastAsia="仿宋" w:cs="仿宋"/>
          <w:sz w:val="32"/>
          <w:szCs w:val="32"/>
          <w:u w:val="single"/>
          <w:lang w:val="en-US" w:eastAsia="zh-CN"/>
        </w:rPr>
        <w:t xml:space="preserve">         </w:t>
      </w:r>
    </w:p>
    <w:p w14:paraId="0E610F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地址：</w:t>
      </w:r>
      <w:r>
        <w:rPr>
          <w:rFonts w:hint="eastAsia" w:ascii="仿宋" w:hAnsi="仿宋" w:eastAsia="仿宋" w:cs="仿宋"/>
          <w:sz w:val="32"/>
          <w:szCs w:val="32"/>
          <w:u w:val="single"/>
          <w:lang w:val="en-US" w:eastAsia="zh-CN"/>
        </w:rPr>
        <w:t xml:space="preserve">                                  </w:t>
      </w:r>
    </w:p>
    <w:p w14:paraId="797B5DE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联系电话：</w:t>
      </w:r>
      <w:r>
        <w:rPr>
          <w:rFonts w:hint="eastAsia" w:ascii="仿宋" w:hAnsi="仿宋" w:eastAsia="仿宋" w:cs="仿宋"/>
          <w:sz w:val="32"/>
          <w:szCs w:val="32"/>
          <w:u w:val="single"/>
          <w:lang w:val="en-US" w:eastAsia="zh-CN"/>
        </w:rPr>
        <w:t xml:space="preserve">                </w:t>
      </w:r>
    </w:p>
    <w:p w14:paraId="46AC325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u w:val="single"/>
          <w:lang w:val="en-US" w:eastAsia="zh-CN"/>
        </w:rPr>
      </w:pPr>
    </w:p>
    <w:p w14:paraId="6A22DC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甲乙双方根据《中华人民共和国民法典》及相关法律法规，经平等自愿协商，就货物采购事宜，达成以下协议。具体交易细节以本协议及双方确认的《采购订单》(附件一)为准。</w:t>
      </w:r>
    </w:p>
    <w:p w14:paraId="35E5DAA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p>
    <w:p w14:paraId="709499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第一章 合同效力与订单</w:t>
      </w:r>
    </w:p>
    <w:p w14:paraId="66334386">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第一条、</w:t>
      </w:r>
      <w:r>
        <w:rPr>
          <w:rFonts w:hint="eastAsia" w:ascii="仿宋" w:hAnsi="仿宋" w:eastAsia="仿宋" w:cs="仿宋"/>
          <w:sz w:val="32"/>
          <w:szCs w:val="32"/>
          <w:u w:val="none"/>
          <w:lang w:val="en-US" w:eastAsia="zh-CN"/>
        </w:rPr>
        <w:t>本合同为建立双方建立采购销售合作关系的框架性约定，每笔具体交易，由双方依据本协议内容填写、签署《采购订单》（附件一）。</w:t>
      </w:r>
    </w:p>
    <w:p w14:paraId="3F4CF48E">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第二条、</w:t>
      </w:r>
      <w:r>
        <w:rPr>
          <w:rFonts w:hint="eastAsia" w:ascii="仿宋" w:hAnsi="仿宋" w:eastAsia="仿宋" w:cs="仿宋"/>
          <w:sz w:val="32"/>
          <w:szCs w:val="32"/>
          <w:u w:val="none"/>
          <w:lang w:val="en-US" w:eastAsia="zh-CN"/>
        </w:rPr>
        <w:t>《采购订单》一经双方签署即成为本合同的有效组成部分，其条款与本协议具有同等法律效力，本协议与《采购订单》约定不一致的，以《采购订单》为准。</w:t>
      </w:r>
    </w:p>
    <w:p w14:paraId="0585FDAB">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第三条、</w:t>
      </w:r>
      <w:r>
        <w:rPr>
          <w:rFonts w:hint="eastAsia" w:ascii="仿宋" w:hAnsi="仿宋" w:eastAsia="仿宋" w:cs="仿宋"/>
          <w:sz w:val="32"/>
          <w:szCs w:val="32"/>
          <w:u w:val="none"/>
          <w:lang w:val="en-US" w:eastAsia="zh-CN"/>
        </w:rPr>
        <w:t>双方可通过传真、电子邮件等书面方式确认《采购订单》，该等书面记录与原件具有同等法律效力。</w:t>
      </w:r>
    </w:p>
    <w:p w14:paraId="1D4B2B41">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sz w:val="32"/>
          <w:szCs w:val="32"/>
          <w:u w:val="none"/>
          <w:lang w:val="en-US" w:eastAsia="zh-CN"/>
        </w:rPr>
      </w:pPr>
    </w:p>
    <w:p w14:paraId="63EEF2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第二章 货物与价款</w:t>
      </w:r>
    </w:p>
    <w:p w14:paraId="0AA207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第一条、</w:t>
      </w:r>
      <w:r>
        <w:rPr>
          <w:rFonts w:hint="eastAsia" w:ascii="仿宋" w:hAnsi="仿宋" w:eastAsia="仿宋" w:cs="仿宋"/>
          <w:sz w:val="32"/>
          <w:szCs w:val="32"/>
          <w:u w:val="none"/>
          <w:lang w:val="en-US" w:eastAsia="zh-CN"/>
        </w:rPr>
        <w:t>货物的名称、规格型号、数量、单价、总价等以《采购订单》约定为准。</w:t>
      </w:r>
    </w:p>
    <w:p w14:paraId="65ACC6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第二条、</w:t>
      </w:r>
      <w:r>
        <w:rPr>
          <w:rFonts w:hint="eastAsia" w:ascii="仿宋" w:hAnsi="仿宋" w:eastAsia="仿宋" w:cs="仿宋"/>
          <w:sz w:val="32"/>
          <w:szCs w:val="32"/>
          <w:u w:val="none"/>
          <w:lang w:val="en-US" w:eastAsia="zh-CN"/>
        </w:rPr>
        <w:t>价格条款：合同价款为含增值税价格。除非《采购订单》另有约定，价格包含将货物交付至指定地点并完成交付前的一切成本、费用及税费(包括但不限于包装费、运输费、保险费、关税等)。</w:t>
      </w:r>
    </w:p>
    <w:p w14:paraId="20E618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第三条、</w:t>
      </w:r>
      <w:r>
        <w:rPr>
          <w:rFonts w:hint="eastAsia" w:ascii="仿宋" w:hAnsi="仿宋" w:eastAsia="仿宋" w:cs="仿宋"/>
          <w:sz w:val="32"/>
          <w:szCs w:val="32"/>
          <w:u w:val="none"/>
          <w:lang w:val="en-US" w:eastAsia="zh-CN"/>
        </w:rPr>
        <w:t>订单变更：甲方在本协议或订单生效后要求变更货物规格或数量的，应经乙方书面同意。因变更导致乙方成本增加或无法按期交货的，由双方协商调整价款或交货日期。</w:t>
      </w:r>
    </w:p>
    <w:p w14:paraId="60BE5D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p>
    <w:p w14:paraId="4D7DB5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第三章 付款方式</w:t>
      </w:r>
    </w:p>
    <w:p w14:paraId="00B4696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□方式一：一次性付清</w:t>
      </w:r>
    </w:p>
    <w:p w14:paraId="6290F5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乙方完成全部交货且经甲方及相关必要单位验收合格后，[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]个工作日内，甲方向乙方支付订单总价的100%款项。</w:t>
      </w:r>
    </w:p>
    <w:p w14:paraId="076CE90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□方式二：预付款+尾款</w:t>
      </w:r>
    </w:p>
    <w:p w14:paraId="0B419504">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第一笔：本订单生效后[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]个工作日内，甲方向乙方支付订单总价的[  ]%款项作为预付款。</w:t>
      </w:r>
    </w:p>
    <w:p w14:paraId="298DB7F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第二笔</w:t>
      </w:r>
      <w:r>
        <w:rPr>
          <w:rFonts w:hint="eastAsia" w:ascii="仿宋" w:hAnsi="仿宋" w:eastAsia="仿宋" w:cs="仿宋"/>
          <w:sz w:val="32"/>
          <w:szCs w:val="32"/>
          <w:lang w:eastAsia="zh-CN"/>
        </w:rPr>
        <w:t>：</w:t>
      </w:r>
      <w:r>
        <w:rPr>
          <w:rFonts w:hint="eastAsia" w:ascii="仿宋" w:hAnsi="仿宋" w:eastAsia="仿宋" w:cs="仿宋"/>
          <w:sz w:val="32"/>
          <w:szCs w:val="32"/>
        </w:rPr>
        <w:t>乙方完成交货且经甲方验收合格后[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]个工作日内，</w:t>
      </w:r>
      <w:r>
        <w:rPr>
          <w:rFonts w:hint="eastAsia" w:ascii="仿宋" w:hAnsi="仿宋" w:eastAsia="仿宋" w:cs="仿宋"/>
          <w:sz w:val="32"/>
          <w:szCs w:val="32"/>
        </w:rPr>
        <w:br w:type="textWrapping"/>
      </w:r>
      <w:r>
        <w:rPr>
          <w:rFonts w:hint="eastAsia" w:ascii="仿宋" w:hAnsi="仿宋" w:eastAsia="仿宋" w:cs="仿宋"/>
          <w:sz w:val="32"/>
          <w:szCs w:val="32"/>
        </w:rPr>
        <w:t>甲方向乙方支付全部剩余尾款。</w:t>
      </w:r>
      <w:r>
        <w:rPr>
          <w:rFonts w:hint="eastAsia" w:ascii="仿宋" w:hAnsi="仿宋" w:eastAsia="仿宋" w:cs="仿宋"/>
          <w:sz w:val="32"/>
          <w:szCs w:val="32"/>
        </w:rPr>
        <w:br w:type="textWrapping"/>
      </w:r>
      <w:r>
        <w:rPr>
          <w:rFonts w:hint="eastAsia" w:ascii="黑体" w:hAnsi="黑体" w:eastAsia="黑体" w:cs="黑体"/>
          <w:sz w:val="32"/>
          <w:szCs w:val="32"/>
          <w:u w:val="none"/>
          <w:lang w:val="en-US" w:eastAsia="zh-CN"/>
        </w:rPr>
        <w:t>□</w:t>
      </w:r>
      <w:r>
        <w:rPr>
          <w:rFonts w:hint="eastAsia" w:ascii="黑体" w:hAnsi="黑体" w:eastAsia="黑体" w:cs="黑体"/>
          <w:sz w:val="32"/>
          <w:szCs w:val="32"/>
        </w:rPr>
        <w:t>方式三:分阶段付款</w:t>
      </w:r>
    </w:p>
    <w:p w14:paraId="794B2B65">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第一笔(预付款):订单生效后[]个工作日内，支付订单</w:t>
      </w:r>
      <w:r>
        <w:rPr>
          <w:rFonts w:hint="eastAsia" w:ascii="仿宋" w:hAnsi="仿宋" w:eastAsia="仿宋" w:cs="仿宋"/>
          <w:sz w:val="32"/>
          <w:szCs w:val="32"/>
        </w:rPr>
        <w:br w:type="textWrapping"/>
      </w:r>
      <w:r>
        <w:rPr>
          <w:rFonts w:hint="eastAsia" w:ascii="仿宋" w:hAnsi="仿宋" w:eastAsia="仿宋" w:cs="仿宋"/>
          <w:sz w:val="32"/>
          <w:szCs w:val="32"/>
        </w:rPr>
        <w:t>总价的[</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w:t>
      </w:r>
      <w:r>
        <w:rPr>
          <w:rFonts w:hint="eastAsia" w:ascii="仿宋" w:hAnsi="仿宋" w:eastAsia="仿宋" w:cs="仿宋"/>
          <w:sz w:val="32"/>
          <w:szCs w:val="32"/>
          <w:lang w:val="en-US" w:eastAsia="zh-CN"/>
        </w:rPr>
        <w:t>款项</w:t>
      </w:r>
      <w:r>
        <w:rPr>
          <w:rFonts w:hint="eastAsia" w:ascii="仿宋" w:hAnsi="仿宋" w:eastAsia="仿宋" w:cs="仿宋"/>
          <w:sz w:val="32"/>
          <w:szCs w:val="32"/>
        </w:rPr>
        <w:t>。</w:t>
      </w:r>
    </w:p>
    <w:p w14:paraId="5CA727B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第二笔(进度款/发货款):乙方备货完成/通知甲方发货后</w:t>
      </w:r>
      <w:r>
        <w:rPr>
          <w:rFonts w:hint="eastAsia" w:ascii="仿宋" w:hAnsi="仿宋" w:eastAsia="仿宋" w:cs="仿宋"/>
          <w:sz w:val="32"/>
          <w:szCs w:val="32"/>
        </w:rPr>
        <w:br w:type="textWrapping"/>
      </w:r>
      <w:r>
        <w:rPr>
          <w:rFonts w:hint="eastAsia" w:ascii="仿宋" w:hAnsi="仿宋" w:eastAsia="仿宋" w:cs="仿宋"/>
          <w:sz w:val="32"/>
          <w:szCs w:val="32"/>
        </w:rPr>
        <w:t>[</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]个工作日内，支付订单总价的[</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w:t>
      </w:r>
    </w:p>
    <w:p w14:paraId="1A9BA52B">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第三笔(验收款):货物验收合格后[]个工作日内，支付</w:t>
      </w:r>
      <w:r>
        <w:rPr>
          <w:rFonts w:hint="eastAsia" w:ascii="仿宋" w:hAnsi="仿宋" w:eastAsia="仿宋" w:cs="仿宋"/>
          <w:sz w:val="32"/>
          <w:szCs w:val="32"/>
        </w:rPr>
        <w:br w:type="textWrapping"/>
      </w:r>
      <w:r>
        <w:rPr>
          <w:rFonts w:hint="eastAsia" w:ascii="仿宋" w:hAnsi="仿宋" w:eastAsia="仿宋" w:cs="仿宋"/>
          <w:sz w:val="32"/>
          <w:szCs w:val="32"/>
        </w:rPr>
        <w:t>订单总价的[</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w:t>
      </w:r>
    </w:p>
    <w:p w14:paraId="1A62921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第四笔(质保金):质保期满且无质量问题后[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]个工作日</w:t>
      </w:r>
      <w:r>
        <w:rPr>
          <w:rFonts w:hint="eastAsia" w:ascii="仿宋" w:hAnsi="仿宋" w:eastAsia="仿宋" w:cs="仿宋"/>
          <w:sz w:val="32"/>
          <w:szCs w:val="32"/>
        </w:rPr>
        <w:br w:type="textWrapping"/>
      </w:r>
      <w:r>
        <w:rPr>
          <w:rFonts w:hint="eastAsia" w:ascii="仿宋" w:hAnsi="仿宋" w:eastAsia="仿宋" w:cs="仿宋"/>
          <w:sz w:val="32"/>
          <w:szCs w:val="32"/>
        </w:rPr>
        <w:t>内，支付剩余[</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w:t>
      </w:r>
      <w:r>
        <w:rPr>
          <w:rFonts w:hint="eastAsia" w:ascii="仿宋" w:hAnsi="仿宋" w:eastAsia="仿宋" w:cs="仿宋"/>
          <w:sz w:val="32"/>
          <w:szCs w:val="32"/>
        </w:rPr>
        <w:br w:type="textWrapping"/>
      </w:r>
      <w:r>
        <w:rPr>
          <w:rFonts w:hint="eastAsia" w:ascii="仿宋" w:hAnsi="仿宋" w:eastAsia="仿宋" w:cs="仿宋"/>
          <w:sz w:val="32"/>
          <w:szCs w:val="32"/>
        </w:rPr>
        <w:t>(其他约定付款方式:</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w:t>
      </w:r>
      <w:r>
        <w:rPr>
          <w:rFonts w:hint="eastAsia" w:ascii="仿宋" w:hAnsi="仿宋" w:eastAsia="仿宋" w:cs="仿宋"/>
          <w:sz w:val="32"/>
          <w:szCs w:val="32"/>
        </w:rPr>
        <w:br w:type="textWrapping"/>
      </w:r>
      <w:r>
        <w:rPr>
          <w:rFonts w:hint="eastAsia" w:ascii="黑体" w:hAnsi="黑体" w:eastAsia="黑体" w:cs="黑体"/>
          <w:sz w:val="32"/>
          <w:szCs w:val="32"/>
        </w:rPr>
        <w:t>通用付款条款:</w:t>
      </w:r>
    </w:p>
    <w:p w14:paraId="1906D37C">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both"/>
        <w:textAlignment w:val="auto"/>
        <w:rPr>
          <w:rFonts w:hint="eastAsia" w:ascii="仿宋" w:hAnsi="仿宋" w:eastAsia="仿宋" w:cs="仿宋"/>
          <w:sz w:val="32"/>
          <w:szCs w:val="32"/>
        </w:rPr>
      </w:pPr>
      <w:r>
        <w:rPr>
          <w:rFonts w:hint="eastAsia" w:ascii="楷体" w:hAnsi="楷体" w:eastAsia="楷体" w:cs="楷体"/>
          <w:b/>
          <w:bCs/>
          <w:sz w:val="32"/>
          <w:szCs w:val="32"/>
          <w:lang w:eastAsia="zh-CN"/>
        </w:rPr>
        <w:t>—</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乙方收款账户信息以《</w:t>
      </w:r>
      <w:r>
        <w:rPr>
          <w:rFonts w:hint="eastAsia" w:ascii="仿宋" w:hAnsi="仿宋" w:eastAsia="仿宋" w:cs="仿宋"/>
          <w:sz w:val="32"/>
          <w:szCs w:val="32"/>
          <w:lang w:val="en-US" w:eastAsia="zh-CN"/>
        </w:rPr>
        <w:t>采购</w:t>
      </w:r>
      <w:r>
        <w:rPr>
          <w:rFonts w:hint="eastAsia" w:ascii="仿宋" w:hAnsi="仿宋" w:eastAsia="仿宋" w:cs="仿宋"/>
          <w:sz w:val="32"/>
          <w:szCs w:val="32"/>
        </w:rPr>
        <w:t>订单》载明为准。未经乙方书面授权，甲方不得向任何第三方支付。</w:t>
      </w:r>
    </w:p>
    <w:p w14:paraId="4A8CC4E7">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both"/>
        <w:textAlignment w:val="auto"/>
        <w:rPr>
          <w:rFonts w:hint="eastAsia" w:ascii="仿宋" w:hAnsi="仿宋" w:eastAsia="仿宋" w:cs="仿宋"/>
          <w:sz w:val="32"/>
          <w:szCs w:val="32"/>
        </w:rPr>
      </w:pPr>
      <w:r>
        <w:rPr>
          <w:rFonts w:hint="eastAsia" w:ascii="楷体" w:hAnsi="楷体" w:eastAsia="楷体" w:cs="楷体"/>
          <w:b/>
          <w:bCs/>
          <w:sz w:val="32"/>
          <w:szCs w:val="32"/>
          <w:lang w:eastAsia="zh-CN"/>
        </w:rPr>
        <w:t>—</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甲方每逾期付款一日，应按逾期金额的万分之五向乙方支付违约金。逾期超过 15 日，乙方有权暂停履行其他订单或解除本订单。</w:t>
      </w:r>
    </w:p>
    <w:p w14:paraId="03443D76">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both"/>
        <w:textAlignment w:val="auto"/>
        <w:rPr>
          <w:rFonts w:hint="eastAsia" w:ascii="仿宋" w:hAnsi="仿宋" w:eastAsia="仿宋" w:cs="仿宋"/>
          <w:sz w:val="32"/>
          <w:szCs w:val="32"/>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 xml:space="preserve"> </w:t>
      </w:r>
      <w:r>
        <w:rPr>
          <w:rFonts w:hint="eastAsia" w:ascii="仿宋" w:hAnsi="仿宋" w:eastAsia="仿宋" w:cs="仿宋"/>
          <w:sz w:val="32"/>
          <w:szCs w:val="32"/>
        </w:rPr>
        <w:t>乙方应在甲方付款前提供合法有效的发票。发票迟延提供的，甲方付款时间相应顺延。</w:t>
      </w:r>
    </w:p>
    <w:p w14:paraId="45BAD2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交付与验收</w:t>
      </w:r>
    </w:p>
    <w:p w14:paraId="2B5A87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eastAsia="zh-CN"/>
        </w:rPr>
      </w:pPr>
      <w:r>
        <w:rPr>
          <w:rFonts w:hint="eastAsia" w:ascii="楷体" w:hAnsi="楷体" w:eastAsia="楷体" w:cs="楷体"/>
          <w:sz w:val="32"/>
          <w:szCs w:val="32"/>
          <w:lang w:val="en-US" w:eastAsia="zh-CN"/>
        </w:rPr>
        <w:t>第一条、交付时间与地点：</w:t>
      </w:r>
      <w:r>
        <w:rPr>
          <w:rFonts w:hint="eastAsia" w:ascii="仿宋" w:hAnsi="仿宋" w:eastAsia="仿宋" w:cs="仿宋"/>
          <w:sz w:val="32"/>
          <w:szCs w:val="32"/>
          <w:lang w:val="en-US" w:eastAsia="zh-CN"/>
        </w:rPr>
        <w:t>以《采购订单》约定为准，甲方变更交付地，</w:t>
      </w:r>
      <w:r>
        <w:rPr>
          <w:rFonts w:hint="eastAsia" w:ascii="仿宋" w:hAnsi="仿宋" w:eastAsia="仿宋" w:cs="仿宋"/>
          <w:sz w:val="32"/>
          <w:szCs w:val="32"/>
        </w:rPr>
        <w:t>点导致乙方增加费用的，甲方应承担该增加费用</w:t>
      </w:r>
      <w:r>
        <w:rPr>
          <w:rFonts w:hint="eastAsia" w:ascii="仿宋" w:hAnsi="仿宋" w:eastAsia="仿宋" w:cs="仿宋"/>
          <w:sz w:val="32"/>
          <w:szCs w:val="32"/>
          <w:lang w:eastAsia="zh-CN"/>
        </w:rPr>
        <w:t>。</w:t>
      </w:r>
    </w:p>
    <w:p w14:paraId="74EE1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楷体" w:hAnsi="楷体" w:eastAsia="楷体" w:cs="楷体"/>
          <w:sz w:val="32"/>
          <w:szCs w:val="32"/>
        </w:rPr>
        <w:t>货物风险转移:</w:t>
      </w:r>
      <w:r>
        <w:rPr>
          <w:rFonts w:hint="eastAsia" w:ascii="仿宋" w:hAnsi="仿宋" w:eastAsia="仿宋" w:cs="仿宋"/>
          <w:sz w:val="32"/>
          <w:szCs w:val="32"/>
        </w:rPr>
        <w:t>货物毁损、灭失的风险，在交付甲方验收合格前由乙方承担，交付验收合格后由甲方承担。</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第三条、</w:t>
      </w:r>
      <w:r>
        <w:rPr>
          <w:rFonts w:hint="eastAsia" w:ascii="楷体" w:hAnsi="楷体" w:eastAsia="楷体" w:cs="楷体"/>
          <w:sz w:val="32"/>
          <w:szCs w:val="32"/>
        </w:rPr>
        <w:t>验收:</w:t>
      </w:r>
      <w:r>
        <w:rPr>
          <w:rFonts w:hint="eastAsia" w:ascii="仿宋" w:hAnsi="仿宋" w:eastAsia="仿宋" w:cs="仿宋"/>
          <w:sz w:val="32"/>
          <w:szCs w:val="32"/>
        </w:rPr>
        <w:t>甲方应在货物送达后[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]小时内(默认 24 小时)当场进行数量、外观、规格型号的初步检验。如有异议，应立即书面提出;未提出的，视为初步检验合格。</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楷体" w:hAnsi="楷体" w:eastAsia="楷体" w:cs="楷体"/>
          <w:b/>
          <w:bCs/>
          <w:sz w:val="32"/>
          <w:szCs w:val="32"/>
          <w:lang w:eastAsia="zh-CN"/>
        </w:rPr>
        <w:t>—</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货物安装调试或使用后[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]日内为质量检验期。如发现质量</w:t>
      </w:r>
      <w:r>
        <w:rPr>
          <w:rFonts w:hint="eastAsia" w:ascii="仿宋" w:hAnsi="仿宋" w:eastAsia="仿宋" w:cs="仿宋"/>
          <w:sz w:val="32"/>
          <w:szCs w:val="32"/>
        </w:rPr>
        <w:br w:type="textWrapping"/>
      </w:r>
      <w:r>
        <w:rPr>
          <w:rFonts w:hint="eastAsia" w:ascii="仿宋" w:hAnsi="仿宋" w:eastAsia="仿宋" w:cs="仿宋"/>
          <w:sz w:val="32"/>
          <w:szCs w:val="32"/>
        </w:rPr>
        <w:t>问题，甲方应在检验期内书面通知乙方。超出检验期未通知的，视为货物质量符合约定。</w:t>
      </w:r>
    </w:p>
    <w:p w14:paraId="0C0724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第四条：</w:t>
      </w:r>
      <w:r>
        <w:rPr>
          <w:rFonts w:hint="eastAsia" w:ascii="楷体" w:hAnsi="楷体" w:eastAsia="楷体" w:cs="楷体"/>
          <w:sz w:val="32"/>
          <w:szCs w:val="32"/>
        </w:rPr>
        <w:t>质量异议处理:</w:t>
      </w:r>
      <w:r>
        <w:rPr>
          <w:rFonts w:hint="eastAsia" w:ascii="仿宋" w:hAnsi="仿宋" w:eastAsia="仿宋" w:cs="仿宋"/>
          <w:sz w:val="32"/>
          <w:szCs w:val="32"/>
        </w:rPr>
        <w:t>乙方收到甲方书面异议后，应在5个工作日内处理并答复。逾期未答复的，视为认可甲方异议。甲方有权要求乙方采取修理、更换、退货或减少价款等措施。</w:t>
      </w:r>
      <w:r>
        <w:rPr>
          <w:rFonts w:hint="eastAsia" w:ascii="仿宋" w:hAnsi="仿宋" w:eastAsia="仿宋" w:cs="仿宋"/>
          <w:sz w:val="32"/>
          <w:szCs w:val="32"/>
        </w:rPr>
        <w:br w:type="textWrapping"/>
      </w:r>
    </w:p>
    <w:p w14:paraId="14B734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第五</w:t>
      </w:r>
      <w:r>
        <w:rPr>
          <w:rFonts w:hint="eastAsia" w:ascii="黑体" w:hAnsi="黑体" w:eastAsia="黑体" w:cs="黑体"/>
          <w:sz w:val="32"/>
          <w:szCs w:val="32"/>
          <w:lang w:val="en-US" w:eastAsia="zh-CN"/>
        </w:rPr>
        <w:t>章</w:t>
      </w:r>
      <w:r>
        <w:rPr>
          <w:rFonts w:hint="eastAsia" w:ascii="黑体" w:hAnsi="黑体" w:eastAsia="黑体" w:cs="黑体"/>
          <w:sz w:val="32"/>
          <w:szCs w:val="32"/>
        </w:rPr>
        <w:t> 质量与质保</w:t>
      </w:r>
    </w:p>
    <w:p w14:paraId="243B14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第一条、</w:t>
      </w:r>
      <w:r>
        <w:rPr>
          <w:rFonts w:hint="eastAsia" w:ascii="楷体" w:hAnsi="楷体" w:eastAsia="楷体" w:cs="楷体"/>
          <w:sz w:val="32"/>
          <w:szCs w:val="32"/>
        </w:rPr>
        <w:t>质量标准:</w:t>
      </w:r>
      <w:r>
        <w:rPr>
          <w:rFonts w:hint="eastAsia" w:ascii="仿宋" w:hAnsi="仿宋" w:eastAsia="仿宋" w:cs="仿宋"/>
          <w:sz w:val="32"/>
          <w:szCs w:val="32"/>
        </w:rPr>
        <w:t>以《</w:t>
      </w:r>
      <w:r>
        <w:rPr>
          <w:rFonts w:hint="eastAsia" w:ascii="仿宋" w:hAnsi="仿宋" w:eastAsia="仿宋" w:cs="仿宋"/>
          <w:sz w:val="32"/>
          <w:szCs w:val="32"/>
          <w:lang w:val="en-US" w:eastAsia="zh-CN"/>
        </w:rPr>
        <w:t>采购</w:t>
      </w:r>
      <w:r>
        <w:rPr>
          <w:rFonts w:hint="eastAsia" w:ascii="仿宋" w:hAnsi="仿宋" w:eastAsia="仿宋" w:cs="仿宋"/>
          <w:sz w:val="32"/>
          <w:szCs w:val="32"/>
        </w:rPr>
        <w:t>订单》约定的标准为准。未约定的，按国家标准(强制优先)、行业标准、生产企业标准的较高者执行。</w:t>
      </w:r>
    </w:p>
    <w:p w14:paraId="746F53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楷体" w:hAnsi="楷体" w:eastAsia="楷体" w:cs="楷体"/>
          <w:sz w:val="32"/>
          <w:szCs w:val="32"/>
        </w:rPr>
        <w:t>质保期:</w:t>
      </w:r>
      <w:r>
        <w:rPr>
          <w:rFonts w:hint="eastAsia" w:ascii="仿宋" w:hAnsi="仿宋" w:eastAsia="仿宋" w:cs="仿宋"/>
          <w:sz w:val="32"/>
          <w:szCs w:val="32"/>
        </w:rPr>
        <w:t>自货物验收合格之日起计算，期限以《</w:t>
      </w:r>
      <w:r>
        <w:rPr>
          <w:rFonts w:hint="eastAsia" w:ascii="仿宋" w:hAnsi="仿宋" w:eastAsia="仿宋" w:cs="仿宋"/>
          <w:sz w:val="32"/>
          <w:szCs w:val="32"/>
          <w:lang w:val="en-US" w:eastAsia="zh-CN"/>
        </w:rPr>
        <w:t>采购</w:t>
      </w:r>
      <w:r>
        <w:rPr>
          <w:rFonts w:hint="eastAsia" w:ascii="仿宋" w:hAnsi="仿宋" w:eastAsia="仿宋" w:cs="仿宋"/>
          <w:sz w:val="32"/>
          <w:szCs w:val="32"/>
        </w:rPr>
        <w:t>订单》约定为准。质保期内，因货物自身设计、材料、工艺原因导致的故障乙方提供免费维修或更换服务。</w:t>
      </w:r>
    </w:p>
    <w:p w14:paraId="22DE6F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第三条、</w:t>
      </w:r>
      <w:r>
        <w:rPr>
          <w:rFonts w:hint="eastAsia" w:ascii="楷体" w:hAnsi="楷体" w:eastAsia="楷体" w:cs="楷体"/>
          <w:sz w:val="32"/>
          <w:szCs w:val="32"/>
        </w:rPr>
        <w:t>质保例外:</w:t>
      </w:r>
    </w:p>
    <w:p w14:paraId="5D2758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以下情况不适用免费质保，乙方可提供有偿维修:</w:t>
      </w:r>
    </w:p>
    <w:p w14:paraId="2DD98B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甲方未按说明书要求使用、</w:t>
      </w:r>
      <w:r>
        <w:rPr>
          <w:rFonts w:hint="eastAsia" w:ascii="仿宋" w:hAnsi="仿宋" w:eastAsia="仿宋" w:cs="仿宋"/>
          <w:sz w:val="32"/>
          <w:szCs w:val="32"/>
          <w:lang w:val="en-US" w:eastAsia="zh-CN"/>
        </w:rPr>
        <w:t>保养或自行拆卸、维修；</w:t>
      </w:r>
    </w:p>
    <w:p w14:paraId="32C8BA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因意外事件、自然灾害、电力故障等不可抗力造成的损坏</w:t>
      </w:r>
      <w:r>
        <w:rPr>
          <w:rFonts w:hint="eastAsia" w:ascii="仿宋" w:hAnsi="仿宋" w:eastAsia="仿宋" w:cs="仿宋"/>
          <w:sz w:val="32"/>
          <w:szCs w:val="32"/>
          <w:lang w:eastAsia="zh-CN"/>
        </w:rPr>
        <w:t>；</w:t>
      </w:r>
    </w:p>
    <w:p w14:paraId="63BCC3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耗材(如电池、滤芯等)的正常损耗。</w:t>
      </w:r>
    </w:p>
    <w:p w14:paraId="54CBDB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p>
    <w:p w14:paraId="5D7D4D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第六章 违约责任</w:t>
      </w:r>
    </w:p>
    <w:p w14:paraId="03E04FB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第一条、</w:t>
      </w:r>
      <w:r>
        <w:rPr>
          <w:rFonts w:hint="eastAsia" w:ascii="楷体" w:hAnsi="楷体" w:eastAsia="楷体" w:cs="楷体"/>
          <w:sz w:val="32"/>
          <w:szCs w:val="32"/>
        </w:rPr>
        <w:t>乙方逾期交货:</w:t>
      </w:r>
      <w:r>
        <w:rPr>
          <w:rFonts w:hint="eastAsia" w:ascii="仿宋" w:hAnsi="仿宋" w:eastAsia="仿宋" w:cs="仿宋"/>
          <w:sz w:val="32"/>
          <w:szCs w:val="32"/>
        </w:rPr>
        <w:t>每逾期一日，应按该订单总价的[0.05%</w:t>
      </w:r>
      <w:r>
        <w:rPr>
          <w:rFonts w:hint="eastAsia" w:ascii="仿宋" w:hAnsi="仿宋" w:eastAsia="仿宋" w:cs="仿宋"/>
          <w:sz w:val="32"/>
          <w:szCs w:val="32"/>
          <w:lang w:val="en-US" w:eastAsia="zh-CN"/>
        </w:rPr>
        <w:t>]</w:t>
      </w:r>
      <w:r>
        <w:rPr>
          <w:rFonts w:hint="eastAsia" w:ascii="仿宋" w:hAnsi="仿宋" w:eastAsia="仿宋" w:cs="仿宋"/>
          <w:sz w:val="32"/>
          <w:szCs w:val="32"/>
        </w:rPr>
        <w:t>向甲方支付违约金。逾期超过 15 日，甲方有权解除该订单。</w:t>
      </w:r>
    </w:p>
    <w:p w14:paraId="1B72FD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楷体" w:hAnsi="楷体" w:eastAsia="楷体" w:cs="楷体"/>
          <w:sz w:val="32"/>
          <w:szCs w:val="32"/>
        </w:rPr>
        <w:t>甲方违约解除:</w:t>
      </w:r>
      <w:r>
        <w:rPr>
          <w:rFonts w:hint="eastAsia" w:ascii="仿宋" w:hAnsi="仿宋" w:eastAsia="仿宋" w:cs="仿宋"/>
          <w:sz w:val="32"/>
          <w:szCs w:val="32"/>
        </w:rPr>
        <w:t>甲方无故拒收货物或逾期付款超过15日，乙方有权解除该订单。甲方应退还已交付货物，并按订单总价的[20%]支付违约金。</w:t>
      </w:r>
    </w:p>
    <w:p w14:paraId="22EDD7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eastAsia="zh-CN"/>
        </w:rPr>
      </w:pPr>
      <w:r>
        <w:rPr>
          <w:rFonts w:hint="eastAsia" w:ascii="楷体" w:hAnsi="楷体" w:eastAsia="楷体" w:cs="楷体"/>
          <w:sz w:val="32"/>
          <w:szCs w:val="32"/>
          <w:lang w:val="en-US" w:eastAsia="zh-CN"/>
        </w:rPr>
        <w:t>第三条、</w:t>
      </w:r>
      <w:r>
        <w:rPr>
          <w:rFonts w:hint="eastAsia" w:ascii="楷体" w:hAnsi="楷体" w:eastAsia="楷体" w:cs="楷体"/>
          <w:sz w:val="32"/>
          <w:szCs w:val="32"/>
        </w:rPr>
        <w:t>乙方违约解除:</w:t>
      </w:r>
      <w:r>
        <w:rPr>
          <w:rFonts w:hint="eastAsia" w:ascii="仿宋" w:hAnsi="仿宋" w:eastAsia="仿宋" w:cs="仿宋"/>
          <w:sz w:val="32"/>
          <w:szCs w:val="32"/>
        </w:rPr>
        <w:t>乙方交付的货物严重不符合约定且无法修理更换，或逾期交货超过 15 日，甲方有权解除该订单</w:t>
      </w:r>
      <w:r>
        <w:rPr>
          <w:rFonts w:hint="eastAsia" w:ascii="仿宋" w:hAnsi="仿宋" w:eastAsia="仿宋" w:cs="仿宋"/>
          <w:sz w:val="32"/>
          <w:szCs w:val="32"/>
          <w:lang w:eastAsia="zh-CN"/>
        </w:rPr>
        <w:t>。</w:t>
      </w:r>
      <w:r>
        <w:rPr>
          <w:rFonts w:hint="eastAsia" w:ascii="仿宋" w:hAnsi="仿宋" w:eastAsia="仿宋" w:cs="仿宋"/>
          <w:sz w:val="32"/>
          <w:szCs w:val="32"/>
        </w:rPr>
        <w:t>乙方应退还已收全部款项，并按订单总价的[20%</w:t>
      </w:r>
      <w:r>
        <w:rPr>
          <w:rFonts w:hint="eastAsia" w:ascii="仿宋" w:hAnsi="仿宋" w:eastAsia="仿宋" w:cs="仿宋"/>
          <w:sz w:val="32"/>
          <w:szCs w:val="32"/>
          <w:lang w:val="en-US" w:eastAsia="zh-CN"/>
        </w:rPr>
        <w:t>]</w:t>
      </w:r>
      <w:r>
        <w:rPr>
          <w:rFonts w:hint="eastAsia" w:ascii="仿宋" w:hAnsi="仿宋" w:eastAsia="仿宋" w:cs="仿宋"/>
          <w:sz w:val="32"/>
          <w:szCs w:val="32"/>
        </w:rPr>
        <w:t>支付违约金</w:t>
      </w:r>
      <w:r>
        <w:rPr>
          <w:rFonts w:hint="eastAsia" w:ascii="仿宋" w:hAnsi="仿宋" w:eastAsia="仿宋" w:cs="仿宋"/>
          <w:sz w:val="32"/>
          <w:szCs w:val="32"/>
          <w:lang w:eastAsia="zh-CN"/>
        </w:rPr>
        <w:t>。</w:t>
      </w:r>
    </w:p>
    <w:p w14:paraId="5DF720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第四条、</w:t>
      </w:r>
      <w:r>
        <w:rPr>
          <w:rFonts w:hint="eastAsia" w:ascii="楷体" w:hAnsi="楷体" w:eastAsia="楷体" w:cs="楷体"/>
          <w:sz w:val="32"/>
          <w:szCs w:val="32"/>
        </w:rPr>
        <w:t> 赔偿责任:</w:t>
      </w:r>
      <w:r>
        <w:rPr>
          <w:rFonts w:hint="eastAsia" w:ascii="仿宋" w:hAnsi="仿宋" w:eastAsia="仿宋" w:cs="仿宋"/>
          <w:sz w:val="32"/>
          <w:szCs w:val="32"/>
        </w:rPr>
        <w:t>任何一方违约给对方造成损失的，违约金不足弥补损失的，还应赔偿守约方的直接经济损失。本合同项下赔偿总额不超过订单总价的[100%</w:t>
      </w:r>
      <w:r>
        <w:rPr>
          <w:rFonts w:hint="eastAsia" w:ascii="仿宋" w:hAnsi="仿宋" w:eastAsia="仿宋" w:cs="仿宋"/>
          <w:sz w:val="32"/>
          <w:szCs w:val="32"/>
          <w:lang w:val="en-US" w:eastAsia="zh-CN"/>
        </w:rPr>
        <w:t>]</w:t>
      </w:r>
      <w:r>
        <w:rPr>
          <w:rFonts w:hint="eastAsia" w:ascii="仿宋" w:hAnsi="仿宋" w:eastAsia="仿宋" w:cs="仿宋"/>
          <w:sz w:val="32"/>
          <w:szCs w:val="32"/>
        </w:rPr>
        <w:t>。</w:t>
      </w:r>
    </w:p>
    <w:p w14:paraId="69A016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第五条、</w:t>
      </w:r>
      <w:r>
        <w:rPr>
          <w:rFonts w:hint="eastAsia" w:ascii="仿宋" w:hAnsi="仿宋" w:eastAsia="仿宋" w:cs="仿宋"/>
          <w:sz w:val="32"/>
          <w:szCs w:val="32"/>
          <w:lang w:val="en-US" w:eastAsia="zh-CN"/>
        </w:rPr>
        <w:t>上述所有违约导致的违约金优先从履约保证中扣除，如履约保证金不足以弥补损失，甲方有权保留依法追偿的权利。</w:t>
      </w:r>
      <w:r>
        <w:rPr>
          <w:rFonts w:hint="eastAsia" w:ascii="仿宋" w:hAnsi="仿宋" w:eastAsia="仿宋" w:cs="仿宋"/>
          <w:sz w:val="32"/>
          <w:szCs w:val="32"/>
        </w:rPr>
        <w:br w:type="textWrapping"/>
      </w:r>
    </w:p>
    <w:p w14:paraId="0E6979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黑体" w:hAnsi="黑体" w:eastAsia="黑体" w:cs="黑体"/>
          <w:sz w:val="32"/>
          <w:szCs w:val="32"/>
        </w:rPr>
        <w:t>第七</w:t>
      </w:r>
      <w:r>
        <w:rPr>
          <w:rFonts w:hint="eastAsia" w:ascii="黑体" w:hAnsi="黑体" w:eastAsia="黑体" w:cs="黑体"/>
          <w:sz w:val="32"/>
          <w:szCs w:val="32"/>
          <w:lang w:val="en-US" w:eastAsia="zh-CN"/>
        </w:rPr>
        <w:t>章</w:t>
      </w:r>
      <w:r>
        <w:rPr>
          <w:rFonts w:hint="eastAsia" w:ascii="黑体" w:hAnsi="黑体" w:eastAsia="黑体" w:cs="黑体"/>
          <w:sz w:val="32"/>
          <w:szCs w:val="32"/>
        </w:rPr>
        <w:t> 所有权保留</w:t>
      </w:r>
    </w:p>
    <w:p w14:paraId="7C85A4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双方确认，在甲方付清该订单项下全部款项(包括但不限于货款、违约金、赔偿金等)之前，该订单项下货物的所有权仍属于乙方。甲方付清全款后，货物所有权转移至甲方。在所有权转移前，甲方不得将货物设定抵押、质押或以其他方式处分。</w:t>
      </w:r>
    </w:p>
    <w:p w14:paraId="1B908ED2">
      <w:pPr>
        <w:rPr>
          <w:rFonts w:hint="eastAsia" w:ascii="仿宋" w:hAnsi="仿宋" w:eastAsia="仿宋" w:cs="仿宋"/>
          <w:sz w:val="32"/>
          <w:szCs w:val="32"/>
        </w:rPr>
      </w:pPr>
    </w:p>
    <w:p w14:paraId="2999E36D">
      <w:pPr>
        <w:jc w:val="center"/>
        <w:rPr>
          <w:rFonts w:hint="eastAsia" w:ascii="黑体" w:hAnsi="黑体" w:eastAsia="黑体" w:cs="黑体"/>
          <w:sz w:val="32"/>
          <w:szCs w:val="32"/>
        </w:rPr>
      </w:pPr>
      <w:r>
        <w:rPr>
          <w:rFonts w:hint="eastAsia" w:ascii="黑体" w:hAnsi="黑体" w:eastAsia="黑体" w:cs="黑体"/>
          <w:sz w:val="32"/>
          <w:szCs w:val="32"/>
        </w:rPr>
        <w:t>第八</w:t>
      </w:r>
      <w:r>
        <w:rPr>
          <w:rFonts w:hint="eastAsia" w:ascii="黑体" w:hAnsi="黑体" w:eastAsia="黑体" w:cs="黑体"/>
          <w:sz w:val="32"/>
          <w:szCs w:val="32"/>
          <w:lang w:val="en-US" w:eastAsia="zh-CN"/>
        </w:rPr>
        <w:t xml:space="preserve">章 </w:t>
      </w:r>
      <w:r>
        <w:rPr>
          <w:rFonts w:hint="eastAsia" w:ascii="黑体" w:hAnsi="黑体" w:eastAsia="黑体" w:cs="黑体"/>
          <w:sz w:val="32"/>
          <w:szCs w:val="32"/>
        </w:rPr>
        <w:t>其他重要约定</w:t>
      </w:r>
    </w:p>
    <w:p w14:paraId="1DD118BB">
      <w:pPr>
        <w:ind w:firstLine="640" w:firstLineChars="200"/>
        <w:jc w:val="left"/>
        <w:rPr>
          <w:rFonts w:hint="eastAsia" w:ascii="仿宋" w:hAnsi="仿宋" w:eastAsia="仿宋" w:cs="仿宋"/>
          <w:sz w:val="32"/>
          <w:szCs w:val="32"/>
          <w:lang w:eastAsia="zh-CN"/>
        </w:rPr>
      </w:pPr>
      <w:r>
        <w:rPr>
          <w:rFonts w:hint="eastAsia" w:ascii="楷体" w:hAnsi="楷体" w:eastAsia="楷体" w:cs="楷体"/>
          <w:sz w:val="32"/>
          <w:szCs w:val="32"/>
          <w:lang w:val="en-US" w:eastAsia="zh-CN"/>
        </w:rPr>
        <w:t>第一条、</w:t>
      </w:r>
      <w:r>
        <w:rPr>
          <w:rFonts w:hint="eastAsia" w:ascii="楷体" w:hAnsi="楷体" w:eastAsia="楷体" w:cs="楷体"/>
          <w:sz w:val="32"/>
          <w:szCs w:val="32"/>
        </w:rPr>
        <w:t>反商业贿赂:</w:t>
      </w:r>
      <w:r>
        <w:rPr>
          <w:rFonts w:hint="eastAsia" w:ascii="仿宋" w:hAnsi="仿宋" w:eastAsia="仿宋" w:cs="仿宋"/>
          <w:sz w:val="32"/>
          <w:szCs w:val="32"/>
        </w:rPr>
        <w:t>任何一方不得向对方业务人员行贿或索贿。违者视为严重违约，守约方有权解除合同并要求不低于</w:t>
      </w:r>
      <w:r>
        <w:rPr>
          <w:rFonts w:hint="eastAsia" w:ascii="仿宋" w:hAnsi="仿宋" w:eastAsia="仿宋" w:cs="仿宋"/>
          <w:sz w:val="32"/>
          <w:szCs w:val="32"/>
          <w:lang w:val="en-US" w:eastAsia="zh-CN"/>
        </w:rPr>
        <w:t>合同总价款50万元</w:t>
      </w:r>
      <w:r>
        <w:rPr>
          <w:rFonts w:hint="eastAsia" w:ascii="仿宋" w:hAnsi="仿宋" w:eastAsia="仿宋" w:cs="仿宋"/>
          <w:sz w:val="32"/>
          <w:szCs w:val="32"/>
        </w:rPr>
        <w:t>的违约金</w:t>
      </w:r>
      <w:r>
        <w:rPr>
          <w:rFonts w:hint="eastAsia" w:ascii="仿宋" w:hAnsi="仿宋" w:eastAsia="仿宋" w:cs="仿宋"/>
          <w:sz w:val="32"/>
          <w:szCs w:val="32"/>
          <w:lang w:eastAsia="zh-CN"/>
        </w:rPr>
        <w:t>。</w:t>
      </w:r>
    </w:p>
    <w:p w14:paraId="11E86745">
      <w:pPr>
        <w:ind w:firstLine="640" w:firstLineChars="200"/>
        <w:jc w:val="left"/>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楷体" w:hAnsi="楷体" w:eastAsia="楷体" w:cs="楷体"/>
          <w:sz w:val="32"/>
          <w:szCs w:val="32"/>
        </w:rPr>
        <w:t>送达地址:</w:t>
      </w:r>
      <w:r>
        <w:rPr>
          <w:rFonts w:hint="eastAsia" w:ascii="仿宋" w:hAnsi="仿宋" w:eastAsia="仿宋" w:cs="仿宋"/>
          <w:sz w:val="32"/>
          <w:szCs w:val="32"/>
        </w:rPr>
        <w:t>本协议首部列明的地址、联系人、手机为双方有效通知及司法送达地址。一方变更应提前三日书面通知对方，否则原地址继续有效。通过快递发送的，交邮后第3日视为送达。</w:t>
      </w:r>
    </w:p>
    <w:p w14:paraId="079E71AD">
      <w:pPr>
        <w:ind w:firstLine="640" w:firstLineChars="200"/>
        <w:jc w:val="left"/>
        <w:rPr>
          <w:rFonts w:hint="eastAsia" w:ascii="仿宋" w:hAnsi="仿宋" w:eastAsia="仿宋" w:cs="仿宋"/>
          <w:sz w:val="32"/>
          <w:szCs w:val="32"/>
        </w:rPr>
      </w:pPr>
      <w:r>
        <w:rPr>
          <w:rFonts w:hint="eastAsia" w:ascii="楷体" w:hAnsi="楷体" w:eastAsia="楷体" w:cs="楷体"/>
          <w:sz w:val="32"/>
          <w:szCs w:val="32"/>
          <w:lang w:val="en-US" w:eastAsia="zh-CN"/>
        </w:rPr>
        <w:t>第三条、</w:t>
      </w:r>
      <w:r>
        <w:rPr>
          <w:rFonts w:hint="eastAsia" w:ascii="楷体" w:hAnsi="楷体" w:eastAsia="楷体" w:cs="楷体"/>
          <w:sz w:val="32"/>
          <w:szCs w:val="32"/>
        </w:rPr>
        <w:t> 争议解决:</w:t>
      </w:r>
      <w:r>
        <w:rPr>
          <w:rFonts w:hint="eastAsia" w:ascii="仿宋" w:hAnsi="仿宋" w:eastAsia="仿宋" w:cs="仿宋"/>
          <w:sz w:val="32"/>
          <w:szCs w:val="32"/>
        </w:rPr>
        <w:t>因本合同发生的争议，双方应协商解决;协商不成的，任何一方有权向[乙方所在地/甲方所在地/合同签订地/原告所在地]有管辖权的人民法院提起诉讼。(请勾选:口乙方所在地甲方所在地 口合同签订地口原告所在地)</w:t>
      </w:r>
    </w:p>
    <w:p w14:paraId="6FE1FF98">
      <w:pPr>
        <w:ind w:firstLine="640" w:firstLineChars="200"/>
        <w:jc w:val="left"/>
        <w:rPr>
          <w:rFonts w:hint="eastAsia" w:ascii="仿宋" w:hAnsi="仿宋" w:eastAsia="仿宋" w:cs="仿宋"/>
          <w:sz w:val="32"/>
          <w:szCs w:val="32"/>
        </w:rPr>
      </w:pPr>
      <w:r>
        <w:rPr>
          <w:rFonts w:hint="eastAsia" w:ascii="楷体" w:hAnsi="楷体" w:eastAsia="楷体" w:cs="楷体"/>
          <w:sz w:val="32"/>
          <w:szCs w:val="32"/>
          <w:lang w:val="en-US" w:eastAsia="zh-CN"/>
        </w:rPr>
        <w:t>第四条、</w:t>
      </w:r>
      <w:r>
        <w:rPr>
          <w:rFonts w:hint="eastAsia" w:ascii="仿宋" w:hAnsi="仿宋" w:eastAsia="仿宋" w:cs="仿宋"/>
          <w:sz w:val="32"/>
          <w:szCs w:val="32"/>
        </w:rPr>
        <w:t>补充协议:本合同未尽事宜，由双方另行签订书面补充协议。</w:t>
      </w:r>
      <w:r>
        <w:rPr>
          <w:rFonts w:hint="eastAsia" w:ascii="仿宋" w:hAnsi="仿宋" w:eastAsia="仿宋" w:cs="仿宋"/>
          <w:sz w:val="32"/>
          <w:szCs w:val="32"/>
        </w:rPr>
        <w:br w:type="textWrapping"/>
      </w:r>
    </w:p>
    <w:p w14:paraId="7EC9F259">
      <w:pPr>
        <w:jc w:val="center"/>
        <w:rPr>
          <w:rFonts w:hint="eastAsia" w:ascii="黑体" w:hAnsi="黑体" w:eastAsia="黑体" w:cs="黑体"/>
          <w:sz w:val="32"/>
          <w:szCs w:val="32"/>
        </w:rPr>
      </w:pPr>
      <w:r>
        <w:rPr>
          <w:rFonts w:hint="eastAsia" w:ascii="黑体" w:hAnsi="黑体" w:eastAsia="黑体" w:cs="黑体"/>
          <w:sz w:val="32"/>
          <w:szCs w:val="32"/>
        </w:rPr>
        <w:t>第九</w:t>
      </w:r>
      <w:r>
        <w:rPr>
          <w:rFonts w:hint="eastAsia" w:ascii="黑体" w:hAnsi="黑体" w:eastAsia="黑体" w:cs="黑体"/>
          <w:sz w:val="32"/>
          <w:szCs w:val="32"/>
          <w:lang w:val="en-US" w:eastAsia="zh-CN"/>
        </w:rPr>
        <w:t>章</w:t>
      </w:r>
      <w:r>
        <w:rPr>
          <w:rFonts w:hint="eastAsia" w:ascii="黑体" w:hAnsi="黑体" w:eastAsia="黑体" w:cs="黑体"/>
          <w:sz w:val="32"/>
          <w:szCs w:val="32"/>
        </w:rPr>
        <w:t> 附则</w:t>
      </w:r>
    </w:p>
    <w:p w14:paraId="60C0482D">
      <w:pPr>
        <w:ind w:firstLine="640" w:firstLineChars="200"/>
        <w:jc w:val="both"/>
        <w:rPr>
          <w:rFonts w:hint="eastAsia" w:ascii="仿宋" w:hAnsi="仿宋" w:eastAsia="仿宋" w:cs="仿宋"/>
          <w:sz w:val="32"/>
          <w:szCs w:val="32"/>
        </w:rPr>
      </w:pPr>
      <w:r>
        <w:rPr>
          <w:rFonts w:hint="eastAsia" w:ascii="楷体" w:hAnsi="楷体" w:eastAsia="楷体" w:cs="楷体"/>
          <w:sz w:val="32"/>
          <w:szCs w:val="32"/>
          <w:lang w:val="en-US" w:eastAsia="zh-CN"/>
        </w:rPr>
        <w:t>第一条、</w:t>
      </w:r>
      <w:r>
        <w:rPr>
          <w:rFonts w:hint="eastAsia" w:ascii="仿宋" w:hAnsi="仿宋" w:eastAsia="仿宋" w:cs="仿宋"/>
          <w:sz w:val="32"/>
          <w:szCs w:val="32"/>
        </w:rPr>
        <w:t>本合同一式</w:t>
      </w:r>
      <w:r>
        <w:rPr>
          <w:rFonts w:hint="eastAsia" w:ascii="仿宋" w:hAnsi="仿宋" w:eastAsia="仿宋" w:cs="仿宋"/>
          <w:sz w:val="32"/>
          <w:szCs w:val="32"/>
          <w:u w:val="single"/>
          <w:lang w:val="en-US" w:eastAsia="zh-CN"/>
        </w:rPr>
        <w:t>陆</w:t>
      </w:r>
      <w:r>
        <w:rPr>
          <w:rFonts w:hint="eastAsia" w:ascii="仿宋" w:hAnsi="仿宋" w:eastAsia="仿宋" w:cs="仿宋"/>
          <w:sz w:val="32"/>
          <w:szCs w:val="32"/>
        </w:rPr>
        <w:t>份，</w:t>
      </w:r>
      <w:r>
        <w:rPr>
          <w:rFonts w:hint="eastAsia" w:ascii="仿宋" w:hAnsi="仿宋" w:eastAsia="仿宋" w:cs="仿宋"/>
          <w:sz w:val="32"/>
          <w:szCs w:val="32"/>
          <w:lang w:val="en-US" w:eastAsia="zh-CN"/>
        </w:rPr>
        <w:t>甲方</w:t>
      </w:r>
      <w:r>
        <w:rPr>
          <w:rFonts w:hint="eastAsia" w:ascii="仿宋" w:hAnsi="仿宋" w:eastAsia="仿宋" w:cs="仿宋"/>
          <w:sz w:val="32"/>
          <w:szCs w:val="32"/>
          <w:u w:val="single"/>
          <w:lang w:val="en-US" w:eastAsia="zh-CN"/>
        </w:rPr>
        <w:t>伍</w:t>
      </w:r>
      <w:r>
        <w:rPr>
          <w:rFonts w:hint="eastAsia" w:ascii="仿宋" w:hAnsi="仿宋" w:eastAsia="仿宋" w:cs="仿宋"/>
          <w:sz w:val="32"/>
          <w:szCs w:val="32"/>
          <w:lang w:val="en-US" w:eastAsia="zh-CN"/>
        </w:rPr>
        <w:t>份，乙</w:t>
      </w:r>
      <w:r>
        <w:rPr>
          <w:rFonts w:hint="eastAsia" w:ascii="仿宋" w:hAnsi="仿宋" w:eastAsia="仿宋" w:cs="仿宋"/>
          <w:sz w:val="32"/>
          <w:szCs w:val="32"/>
        </w:rPr>
        <w:t>方</w:t>
      </w:r>
      <w:r>
        <w:rPr>
          <w:rFonts w:hint="eastAsia" w:ascii="仿宋" w:hAnsi="仿宋" w:eastAsia="仿宋" w:cs="仿宋"/>
          <w:sz w:val="32"/>
          <w:szCs w:val="32"/>
          <w:u w:val="single"/>
          <w:lang w:val="en-US" w:eastAsia="zh-CN"/>
        </w:rPr>
        <w:t>壹</w:t>
      </w:r>
      <w:r>
        <w:rPr>
          <w:rFonts w:hint="eastAsia" w:ascii="仿宋" w:hAnsi="仿宋" w:eastAsia="仿宋" w:cs="仿宋"/>
          <w:sz w:val="32"/>
          <w:szCs w:val="32"/>
        </w:rPr>
        <w:t>份，具有同等法律效力。</w:t>
      </w:r>
    </w:p>
    <w:p w14:paraId="55D22879">
      <w:pPr>
        <w:ind w:firstLine="640" w:firstLineChars="200"/>
        <w:jc w:val="both"/>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仿宋" w:hAnsi="仿宋" w:eastAsia="仿宋" w:cs="仿宋"/>
          <w:sz w:val="32"/>
          <w:szCs w:val="32"/>
        </w:rPr>
        <w:t>本合同自双方签字或盖章之日起生效。</w:t>
      </w:r>
    </w:p>
    <w:p w14:paraId="65F5DB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附件：附件一</w:t>
      </w:r>
    </w:p>
    <w:p w14:paraId="0354A8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【以下无正文】</w:t>
      </w:r>
    </w:p>
    <w:p w14:paraId="0156F01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32"/>
          <w:szCs w:val="32"/>
          <w:u w:val="none"/>
          <w:lang w:val="en-US" w:eastAsia="zh-CN"/>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0"/>
        <w:gridCol w:w="4531"/>
      </w:tblGrid>
      <w:tr w14:paraId="3054D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Pr>
          <w:p w14:paraId="2E2613C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甲方：</w:t>
            </w:r>
            <w:r>
              <w:rPr>
                <w:rFonts w:hint="eastAsia" w:asciiTheme="minorEastAsia" w:hAnsiTheme="minorEastAsia" w:eastAsiaTheme="minorEastAsia" w:cstheme="minorEastAsia"/>
                <w:spacing w:val="1"/>
                <w:w w:val="92"/>
                <w:kern w:val="0"/>
                <w:sz w:val="28"/>
                <w:szCs w:val="28"/>
                <w:u w:val="none"/>
                <w:fitText w:val="3360" w:id="1864650889"/>
                <w:vertAlign w:val="baseline"/>
                <w:lang w:val="en-US" w:eastAsia="zh-CN"/>
              </w:rPr>
              <w:t>淮南新物源商贸有限责任公</w:t>
            </w:r>
            <w:r>
              <w:rPr>
                <w:rFonts w:hint="eastAsia" w:asciiTheme="minorEastAsia" w:hAnsiTheme="minorEastAsia" w:eastAsiaTheme="minorEastAsia" w:cstheme="minorEastAsia"/>
                <w:spacing w:val="4"/>
                <w:w w:val="92"/>
                <w:kern w:val="0"/>
                <w:sz w:val="28"/>
                <w:szCs w:val="28"/>
                <w:u w:val="none"/>
                <w:fitText w:val="3360" w:id="1864650889"/>
                <w:vertAlign w:val="baseline"/>
                <w:lang w:val="en-US" w:eastAsia="zh-CN"/>
              </w:rPr>
              <w:t>司</w:t>
            </w:r>
          </w:p>
          <w:p w14:paraId="412377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p>
          <w:p w14:paraId="2665961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章：</w:t>
            </w:r>
          </w:p>
          <w:p w14:paraId="5B553D3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p>
          <w:p w14:paraId="485D281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法定代表人或代理人签或章：</w:t>
            </w:r>
          </w:p>
          <w:p w14:paraId="5636183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8"/>
                <w:szCs w:val="28"/>
                <w:u w:val="none"/>
                <w:vertAlign w:val="baseline"/>
                <w:lang w:val="en-US" w:eastAsia="zh-CN"/>
              </w:rPr>
            </w:pPr>
          </w:p>
          <w:p w14:paraId="38AA5A8D">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年    月    日</w:t>
            </w:r>
          </w:p>
        </w:tc>
        <w:tc>
          <w:tcPr>
            <w:tcW w:w="4531" w:type="dxa"/>
          </w:tcPr>
          <w:p w14:paraId="48F0161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乙方：</w:t>
            </w:r>
          </w:p>
          <w:p w14:paraId="092EF3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p>
          <w:p w14:paraId="24B6B4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章：</w:t>
            </w:r>
          </w:p>
          <w:p w14:paraId="4B5966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p>
          <w:p w14:paraId="680C4E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法定代表人或代理人签或章：</w:t>
            </w:r>
          </w:p>
          <w:p w14:paraId="514FEA1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8"/>
                <w:szCs w:val="28"/>
                <w:u w:val="none"/>
                <w:vertAlign w:val="baseline"/>
                <w:lang w:val="en-US" w:eastAsia="zh-CN"/>
              </w:rPr>
            </w:pPr>
          </w:p>
          <w:p w14:paraId="35C9D887">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年    月    日</w:t>
            </w:r>
          </w:p>
        </w:tc>
      </w:tr>
    </w:tbl>
    <w:p w14:paraId="5686AA1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2F63D93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0719A1F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2D58D04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41B7B55C">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附件一</w:t>
      </w:r>
    </w:p>
    <w:p w14:paraId="21BD075B">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订单编号：</w:t>
      </w:r>
      <w:r>
        <w:rPr>
          <w:rFonts w:hint="eastAsia" w:ascii="仿宋" w:hAnsi="仿宋" w:eastAsia="仿宋" w:cs="仿宋"/>
          <w:sz w:val="32"/>
          <w:szCs w:val="32"/>
          <w:u w:val="single"/>
          <w:lang w:val="en-US" w:eastAsia="zh-CN"/>
        </w:rPr>
        <w:t xml:space="preserve">              </w:t>
      </w:r>
    </w:p>
    <w:p w14:paraId="0AB280F2">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订单日期：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年</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月</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日</w:t>
      </w:r>
    </w:p>
    <w:p w14:paraId="5FBF3672">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主合同名称：</w:t>
      </w:r>
      <w:r>
        <w:rPr>
          <w:rFonts w:hint="eastAsia" w:ascii="仿宋" w:hAnsi="仿宋" w:eastAsia="仿宋" w:cs="仿宋"/>
          <w:sz w:val="32"/>
          <w:szCs w:val="32"/>
          <w:u w:val="single"/>
          <w:lang w:val="en-US" w:eastAsia="zh-CN"/>
        </w:rPr>
        <w:t xml:space="preserve">            </w:t>
      </w:r>
    </w:p>
    <w:p w14:paraId="01ED7B4B">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p>
    <w:p w14:paraId="3D05A6AE">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甲方：</w:t>
      </w:r>
      <w:r>
        <w:rPr>
          <w:rFonts w:hint="eastAsia" w:ascii="仿宋" w:hAnsi="仿宋" w:eastAsia="仿宋" w:cs="仿宋"/>
          <w:sz w:val="32"/>
          <w:szCs w:val="32"/>
          <w:u w:val="single"/>
          <w:lang w:val="en-US" w:eastAsia="zh-CN"/>
        </w:rPr>
        <w:t>淮南新物源商贸有限责任公司</w:t>
      </w:r>
      <w:r>
        <w:rPr>
          <w:rFonts w:hint="eastAsia" w:ascii="仿宋" w:hAnsi="仿宋" w:eastAsia="仿宋" w:cs="仿宋"/>
          <w:sz w:val="32"/>
          <w:szCs w:val="32"/>
          <w:u w:val="none"/>
          <w:lang w:val="en-US" w:eastAsia="zh-CN"/>
        </w:rPr>
        <w:t>（买方）</w:t>
      </w:r>
    </w:p>
    <w:p w14:paraId="368C48A0">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（卖方）</w:t>
      </w:r>
    </w:p>
    <w:p w14:paraId="57FC7B1D">
      <w:pPr>
        <w:keepNext w:val="0"/>
        <w:keepLines w:val="0"/>
        <w:pageBreakBefore w:val="0"/>
        <w:widowControl w:val="0"/>
        <w:numPr>
          <w:ilvl w:val="0"/>
          <w:numId w:val="3"/>
        </w:numPr>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货物明细</w:t>
      </w:r>
    </w:p>
    <w:tbl>
      <w:tblPr>
        <w:tblStyle w:val="9"/>
        <w:tblpPr w:leftFromText="180" w:rightFromText="180" w:vertAnchor="text" w:horzAnchor="page" w:tblpX="413" w:tblpY="500"/>
        <w:tblOverlap w:val="never"/>
        <w:tblW w:w="10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550"/>
        <w:gridCol w:w="2425"/>
        <w:gridCol w:w="850"/>
        <w:gridCol w:w="1213"/>
        <w:gridCol w:w="737"/>
        <w:gridCol w:w="1100"/>
        <w:gridCol w:w="1886"/>
      </w:tblGrid>
      <w:tr w14:paraId="7780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9" w:hRule="atLeast"/>
        </w:trPr>
        <w:tc>
          <w:tcPr>
            <w:tcW w:w="861" w:type="dxa"/>
            <w:shd w:val="clear" w:color="auto" w:fill="auto"/>
            <w:noWrap/>
            <w:vAlign w:val="center"/>
          </w:tcPr>
          <w:p w14:paraId="7076AD23">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550" w:type="dxa"/>
            <w:shd w:val="clear" w:color="auto" w:fill="auto"/>
            <w:noWrap/>
            <w:vAlign w:val="center"/>
          </w:tcPr>
          <w:p w14:paraId="4B609F2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2425" w:type="dxa"/>
            <w:shd w:val="clear" w:color="auto" w:fill="auto"/>
            <w:noWrap/>
            <w:vAlign w:val="center"/>
          </w:tcPr>
          <w:p w14:paraId="3F36FD4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850" w:type="dxa"/>
            <w:shd w:val="clear" w:color="auto" w:fill="auto"/>
            <w:noWrap/>
            <w:vAlign w:val="center"/>
          </w:tcPr>
          <w:p w14:paraId="4B1F265C">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213" w:type="dxa"/>
            <w:shd w:val="clear" w:color="auto" w:fill="auto"/>
            <w:noWrap/>
            <w:vAlign w:val="center"/>
          </w:tcPr>
          <w:p w14:paraId="588C31BA">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737" w:type="dxa"/>
            <w:shd w:val="clear" w:color="auto" w:fill="auto"/>
            <w:noWrap/>
            <w:vAlign w:val="center"/>
          </w:tcPr>
          <w:p w14:paraId="339E516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100" w:type="dxa"/>
            <w:shd w:val="clear" w:color="auto" w:fill="auto"/>
            <w:noWrap/>
            <w:vAlign w:val="center"/>
          </w:tcPr>
          <w:p w14:paraId="319AB4A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886" w:type="dxa"/>
            <w:shd w:val="clear" w:color="auto" w:fill="auto"/>
            <w:noWrap/>
            <w:vAlign w:val="center"/>
          </w:tcPr>
          <w:p w14:paraId="3190D927">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318CF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6188AD6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550" w:type="dxa"/>
            <w:shd w:val="clear" w:color="auto" w:fill="auto"/>
            <w:noWrap/>
            <w:vAlign w:val="center"/>
          </w:tcPr>
          <w:p w14:paraId="75C846BB">
            <w:pPr>
              <w:widowControl/>
              <w:jc w:val="center"/>
              <w:textAlignment w:val="baseline"/>
              <w:rPr>
                <w:rFonts w:hint="default"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4A0A674B">
            <w:pPr>
              <w:keepNext w:val="0"/>
              <w:keepLines w:val="0"/>
              <w:widowControl/>
              <w:suppressLineNumbers w:val="0"/>
              <w:jc w:val="left"/>
              <w:textAlignment w:val="center"/>
              <w:rPr>
                <w:rFonts w:hint="default"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S20-250KVA 10/0.4KV</w:t>
            </w:r>
          </w:p>
        </w:tc>
        <w:tc>
          <w:tcPr>
            <w:tcW w:w="850" w:type="dxa"/>
            <w:shd w:val="clear" w:color="auto" w:fill="auto"/>
            <w:noWrap/>
            <w:vAlign w:val="center"/>
          </w:tcPr>
          <w:p w14:paraId="40AAEF0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5FFE6025">
            <w:pPr>
              <w:keepNext w:val="0"/>
              <w:keepLines w:val="0"/>
              <w:widowControl/>
              <w:suppressLineNumbers w:val="0"/>
              <w:jc w:val="center"/>
              <w:textAlignment w:val="center"/>
              <w:rPr>
                <w:rFonts w:hint="default"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737" w:type="dxa"/>
            <w:shd w:val="clear" w:color="auto" w:fill="auto"/>
            <w:noWrap/>
            <w:vAlign w:val="center"/>
          </w:tcPr>
          <w:p w14:paraId="76C748A9">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66FB66C3">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140A4C10">
            <w:pPr>
              <w:widowControl/>
              <w:jc w:val="center"/>
              <w:textAlignment w:val="baseline"/>
              <w:rPr>
                <w:rFonts w:hint="default" w:ascii="仿宋" w:hAnsi="仿宋" w:eastAsia="仿宋" w:cs="楷体_GB2312"/>
                <w:color w:val="000000"/>
                <w:sz w:val="24"/>
                <w:szCs w:val="24"/>
                <w:lang w:val="en-US" w:eastAsia="zh-CN"/>
              </w:rPr>
            </w:pPr>
          </w:p>
        </w:tc>
      </w:tr>
      <w:tr w14:paraId="33C0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7A6D50E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550" w:type="dxa"/>
            <w:shd w:val="clear" w:color="auto" w:fill="auto"/>
            <w:noWrap/>
            <w:vAlign w:val="center"/>
          </w:tcPr>
          <w:p w14:paraId="6A60315B">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5A4C4A64">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S20-160KVA 10/0.4KV</w:t>
            </w:r>
          </w:p>
        </w:tc>
        <w:tc>
          <w:tcPr>
            <w:tcW w:w="850" w:type="dxa"/>
            <w:shd w:val="clear" w:color="auto" w:fill="auto"/>
            <w:noWrap/>
            <w:vAlign w:val="center"/>
          </w:tcPr>
          <w:p w14:paraId="233C9B9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1DCF6E1B">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7" w:type="dxa"/>
            <w:shd w:val="clear" w:color="auto" w:fill="auto"/>
            <w:noWrap/>
            <w:vAlign w:val="center"/>
          </w:tcPr>
          <w:p w14:paraId="4C830360">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1F10FFDD">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1F408FC6">
            <w:pPr>
              <w:widowControl/>
              <w:jc w:val="center"/>
              <w:textAlignment w:val="baseline"/>
              <w:rPr>
                <w:rFonts w:hint="eastAsia" w:ascii="仿宋" w:hAnsi="仿宋" w:eastAsia="仿宋" w:cs="楷体_GB2312"/>
                <w:color w:val="000000"/>
                <w:sz w:val="24"/>
                <w:szCs w:val="24"/>
                <w:lang w:val="en-US" w:eastAsia="zh-CN"/>
              </w:rPr>
            </w:pPr>
          </w:p>
        </w:tc>
      </w:tr>
      <w:tr w14:paraId="2638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607C69B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550" w:type="dxa"/>
            <w:shd w:val="clear" w:color="auto" w:fill="auto"/>
            <w:noWrap/>
            <w:vAlign w:val="center"/>
          </w:tcPr>
          <w:p w14:paraId="52A9ACE8">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706FD26A">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S20-125KVA 10/0.4KV</w:t>
            </w:r>
          </w:p>
        </w:tc>
        <w:tc>
          <w:tcPr>
            <w:tcW w:w="850" w:type="dxa"/>
            <w:shd w:val="clear" w:color="auto" w:fill="auto"/>
            <w:noWrap/>
            <w:vAlign w:val="center"/>
          </w:tcPr>
          <w:p w14:paraId="749D19F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67961835">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737" w:type="dxa"/>
            <w:shd w:val="clear" w:color="auto" w:fill="auto"/>
            <w:noWrap/>
            <w:vAlign w:val="center"/>
          </w:tcPr>
          <w:p w14:paraId="5D63E07D">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5D5938A2">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265AF331">
            <w:pPr>
              <w:widowControl/>
              <w:jc w:val="center"/>
              <w:textAlignment w:val="baseline"/>
              <w:rPr>
                <w:rFonts w:hint="eastAsia" w:ascii="仿宋" w:hAnsi="仿宋" w:eastAsia="仿宋" w:cs="楷体_GB2312"/>
                <w:color w:val="000000"/>
                <w:sz w:val="24"/>
                <w:szCs w:val="24"/>
                <w:lang w:val="en-US" w:eastAsia="zh-CN"/>
              </w:rPr>
            </w:pPr>
          </w:p>
        </w:tc>
      </w:tr>
      <w:tr w14:paraId="2FD1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05DB67B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550" w:type="dxa"/>
            <w:shd w:val="clear" w:color="auto" w:fill="auto"/>
            <w:noWrap/>
            <w:vAlign w:val="center"/>
          </w:tcPr>
          <w:p w14:paraId="1CD816FA">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1D7F4AE9">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S20-100KVA 10/0.4KV</w:t>
            </w:r>
          </w:p>
        </w:tc>
        <w:tc>
          <w:tcPr>
            <w:tcW w:w="850" w:type="dxa"/>
            <w:shd w:val="clear" w:color="auto" w:fill="auto"/>
            <w:noWrap/>
            <w:vAlign w:val="center"/>
          </w:tcPr>
          <w:p w14:paraId="1A10B3F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171460DD">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737" w:type="dxa"/>
            <w:shd w:val="clear" w:color="auto" w:fill="auto"/>
            <w:noWrap/>
            <w:vAlign w:val="center"/>
          </w:tcPr>
          <w:p w14:paraId="7C7F8394">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098F7F9E">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23694CC1">
            <w:pPr>
              <w:widowControl/>
              <w:jc w:val="center"/>
              <w:textAlignment w:val="baseline"/>
              <w:rPr>
                <w:rFonts w:hint="eastAsia" w:ascii="仿宋" w:hAnsi="仿宋" w:eastAsia="仿宋" w:cs="楷体_GB2312"/>
                <w:color w:val="000000"/>
                <w:sz w:val="24"/>
                <w:szCs w:val="24"/>
                <w:lang w:val="en-US" w:eastAsia="zh-CN"/>
              </w:rPr>
            </w:pPr>
          </w:p>
        </w:tc>
      </w:tr>
      <w:tr w14:paraId="1840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7B0BCCA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550" w:type="dxa"/>
            <w:shd w:val="clear" w:color="auto" w:fill="auto"/>
            <w:noWrap/>
            <w:vAlign w:val="center"/>
          </w:tcPr>
          <w:p w14:paraId="6493EE6F">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040BE478">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S20-80KVA 10/0.4KV</w:t>
            </w:r>
          </w:p>
        </w:tc>
        <w:tc>
          <w:tcPr>
            <w:tcW w:w="850" w:type="dxa"/>
            <w:shd w:val="clear" w:color="auto" w:fill="auto"/>
            <w:noWrap/>
            <w:vAlign w:val="center"/>
          </w:tcPr>
          <w:p w14:paraId="54E738F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26155E02">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7" w:type="dxa"/>
            <w:shd w:val="clear" w:color="auto" w:fill="auto"/>
            <w:noWrap/>
            <w:vAlign w:val="center"/>
          </w:tcPr>
          <w:p w14:paraId="1A92B738">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10877D00">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31A491A9">
            <w:pPr>
              <w:widowControl/>
              <w:jc w:val="center"/>
              <w:textAlignment w:val="baseline"/>
              <w:rPr>
                <w:rFonts w:hint="eastAsia" w:ascii="仿宋" w:hAnsi="仿宋" w:eastAsia="仿宋" w:cs="楷体_GB2312"/>
                <w:color w:val="000000"/>
                <w:sz w:val="24"/>
                <w:szCs w:val="24"/>
                <w:lang w:val="en-US" w:eastAsia="zh-CN"/>
              </w:rPr>
            </w:pPr>
          </w:p>
        </w:tc>
      </w:tr>
      <w:tr w14:paraId="5689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71ACC7D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550" w:type="dxa"/>
            <w:shd w:val="clear" w:color="auto" w:fill="auto"/>
            <w:noWrap/>
            <w:vAlign w:val="center"/>
          </w:tcPr>
          <w:p w14:paraId="087E3439">
            <w:pPr>
              <w:widowControl/>
              <w:jc w:val="center"/>
              <w:textAlignment w:val="baseline"/>
              <w:rPr>
                <w:rFonts w:hint="eastAsia" w:ascii="仿宋" w:hAnsi="仿宋" w:eastAsia="仿宋" w:cs="楷体_GB2312"/>
                <w:color w:val="000000"/>
                <w:kern w:val="2"/>
                <w:sz w:val="24"/>
                <w:szCs w:val="24"/>
                <w:lang w:val="en-US" w:eastAsia="zh-CN" w:bidi="ar-SA"/>
              </w:rPr>
            </w:pPr>
            <w:r>
              <w:rPr>
                <w:rFonts w:ascii="宋体" w:hAnsi="宋体" w:eastAsia="宋体" w:cs="宋体"/>
                <w:sz w:val="24"/>
                <w:szCs w:val="24"/>
              </w:rPr>
              <w:t>S20 系列全铜变压器</w:t>
            </w:r>
          </w:p>
        </w:tc>
        <w:tc>
          <w:tcPr>
            <w:tcW w:w="2425" w:type="dxa"/>
            <w:shd w:val="clear" w:color="auto" w:fill="auto"/>
            <w:noWrap/>
            <w:vAlign w:val="center"/>
          </w:tcPr>
          <w:p w14:paraId="1B5999A3">
            <w:pPr>
              <w:keepNext w:val="0"/>
              <w:keepLines w:val="0"/>
              <w:widowControl/>
              <w:suppressLineNumbers w:val="0"/>
              <w:jc w:val="left"/>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S20-50KVA 10/0.4KV</w:t>
            </w:r>
          </w:p>
        </w:tc>
        <w:tc>
          <w:tcPr>
            <w:tcW w:w="850" w:type="dxa"/>
            <w:shd w:val="clear" w:color="auto" w:fill="auto"/>
            <w:noWrap/>
            <w:vAlign w:val="center"/>
          </w:tcPr>
          <w:p w14:paraId="5B3144E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69BCDACC">
            <w:pPr>
              <w:keepNext w:val="0"/>
              <w:keepLines w:val="0"/>
              <w:widowControl/>
              <w:suppressLineNumbers w:val="0"/>
              <w:jc w:val="center"/>
              <w:textAlignment w:val="center"/>
              <w:rPr>
                <w:rFonts w:hint="eastAsia" w:ascii="仿宋" w:hAnsi="仿宋" w:eastAsia="仿宋" w:cs="楷体_GB2312"/>
                <w:color w:val="000000"/>
                <w:sz w:val="24"/>
                <w:szCs w:val="24"/>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737" w:type="dxa"/>
            <w:shd w:val="clear" w:color="auto" w:fill="auto"/>
            <w:noWrap/>
            <w:vAlign w:val="center"/>
          </w:tcPr>
          <w:p w14:paraId="27BC1866">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1B69EB44">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7CF9542E">
            <w:pPr>
              <w:widowControl/>
              <w:jc w:val="center"/>
              <w:textAlignment w:val="baseline"/>
              <w:rPr>
                <w:rFonts w:hint="eastAsia" w:ascii="仿宋" w:hAnsi="仿宋" w:eastAsia="仿宋" w:cs="楷体_GB2312"/>
                <w:color w:val="000000"/>
                <w:sz w:val="24"/>
                <w:szCs w:val="24"/>
                <w:lang w:val="en-US" w:eastAsia="zh-CN"/>
              </w:rPr>
            </w:pPr>
          </w:p>
        </w:tc>
      </w:tr>
      <w:tr w14:paraId="70D5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00FB4E0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550" w:type="dxa"/>
            <w:shd w:val="clear" w:color="auto" w:fill="auto"/>
            <w:noWrap/>
            <w:vAlign w:val="center"/>
          </w:tcPr>
          <w:p w14:paraId="348655D6">
            <w:pPr>
              <w:widowControl/>
              <w:jc w:val="center"/>
              <w:textAlignment w:val="baseline"/>
              <w:rPr>
                <w:rFonts w:hint="default" w:ascii="仿宋" w:hAnsi="仿宋" w:eastAsia="仿宋" w:cs="楷体_GB2312"/>
                <w:color w:val="000000"/>
                <w:kern w:val="2"/>
                <w:sz w:val="24"/>
                <w:szCs w:val="24"/>
                <w:lang w:val="en-US" w:eastAsia="zh-CN" w:bidi="ar-SA"/>
              </w:rPr>
            </w:pPr>
            <w:r>
              <w:rPr>
                <w:rFonts w:hint="eastAsia" w:ascii="仿宋" w:hAnsi="仿宋" w:eastAsia="仿宋" w:cs="楷体_GB2312"/>
                <w:color w:val="000000"/>
                <w:kern w:val="2"/>
                <w:sz w:val="24"/>
                <w:szCs w:val="24"/>
                <w:lang w:val="en-US" w:eastAsia="zh-CN" w:bidi="ar-SA"/>
              </w:rPr>
              <w:t>美式箱变（含配套设备）</w:t>
            </w:r>
          </w:p>
        </w:tc>
        <w:tc>
          <w:tcPr>
            <w:tcW w:w="2425" w:type="dxa"/>
            <w:shd w:val="clear" w:color="auto" w:fill="auto"/>
            <w:noWrap/>
            <w:vAlign w:val="center"/>
          </w:tcPr>
          <w:p w14:paraId="6A2EB5B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ZGS-315KVA 10/0.4kv终端型</w:t>
            </w:r>
          </w:p>
        </w:tc>
        <w:tc>
          <w:tcPr>
            <w:tcW w:w="850" w:type="dxa"/>
            <w:shd w:val="clear" w:color="auto" w:fill="auto"/>
            <w:noWrap/>
            <w:vAlign w:val="center"/>
          </w:tcPr>
          <w:p w14:paraId="7004321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626E82B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737" w:type="dxa"/>
            <w:shd w:val="clear" w:color="auto" w:fill="auto"/>
            <w:noWrap/>
            <w:vAlign w:val="center"/>
          </w:tcPr>
          <w:p w14:paraId="12DC3BE1">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1885384D">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0959B1A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终端型-S20铜 美变315KVA内配：进线总开关M1-630/3P 630A手动，出线3路：630A*1+400*2断路器，有补偿、选用小型断路器、复合开关、电容器分共补动态样式配置，开关元件以及其它辅料附件由公司标准配置，其中不含计量表计、采集终端预留其安装位置</w:t>
            </w:r>
          </w:p>
        </w:tc>
      </w:tr>
      <w:tr w14:paraId="26E3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291C689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550" w:type="dxa"/>
            <w:shd w:val="clear" w:color="auto" w:fill="auto"/>
            <w:noWrap/>
            <w:vAlign w:val="center"/>
          </w:tcPr>
          <w:p w14:paraId="4108EE7E">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kern w:val="2"/>
                <w:sz w:val="24"/>
                <w:szCs w:val="24"/>
                <w:lang w:val="en-US" w:eastAsia="zh-CN" w:bidi="ar-SA"/>
              </w:rPr>
              <w:t>美式箱变（含配套设备）</w:t>
            </w:r>
          </w:p>
        </w:tc>
        <w:tc>
          <w:tcPr>
            <w:tcW w:w="2425" w:type="dxa"/>
            <w:shd w:val="clear" w:color="auto" w:fill="auto"/>
            <w:noWrap/>
            <w:vAlign w:val="center"/>
          </w:tcPr>
          <w:p w14:paraId="081D776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ZGS-200KVA 10/0.4kv终端型</w:t>
            </w:r>
          </w:p>
        </w:tc>
        <w:tc>
          <w:tcPr>
            <w:tcW w:w="850" w:type="dxa"/>
            <w:shd w:val="clear" w:color="auto" w:fill="auto"/>
            <w:noWrap/>
            <w:vAlign w:val="center"/>
          </w:tcPr>
          <w:p w14:paraId="2D031BDF">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6AD2BF5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737" w:type="dxa"/>
            <w:shd w:val="clear" w:color="auto" w:fill="auto"/>
            <w:noWrap/>
            <w:vAlign w:val="center"/>
          </w:tcPr>
          <w:p w14:paraId="4AE88C99">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50038899">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554096B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终端型-S20铜 美变200KVA内配：进线总开关M1-400/3P 400A手动，出线3路：400A*1+200*2断路器，有补偿、选用小型断路器、复合开关、电容器分共补动态样式配置，开关元件以及其它辅料附件由公司标准配置，其中不含计量表计、采集终端预留其安装位置</w:t>
            </w:r>
          </w:p>
        </w:tc>
      </w:tr>
      <w:tr w14:paraId="47C0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4B9E0D1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550" w:type="dxa"/>
            <w:shd w:val="clear" w:color="auto" w:fill="auto"/>
            <w:noWrap/>
            <w:vAlign w:val="center"/>
          </w:tcPr>
          <w:p w14:paraId="52D4590B">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kern w:val="2"/>
                <w:sz w:val="24"/>
                <w:szCs w:val="24"/>
                <w:lang w:val="en-US" w:eastAsia="zh-CN" w:bidi="ar-SA"/>
              </w:rPr>
              <w:t>美式箱变（含配套设备）</w:t>
            </w:r>
          </w:p>
        </w:tc>
        <w:tc>
          <w:tcPr>
            <w:tcW w:w="2425" w:type="dxa"/>
            <w:shd w:val="clear" w:color="auto" w:fill="auto"/>
            <w:noWrap/>
            <w:vAlign w:val="center"/>
          </w:tcPr>
          <w:p w14:paraId="5634D7E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ZGS-100KVA 10/0.4kv终端型</w:t>
            </w:r>
          </w:p>
        </w:tc>
        <w:tc>
          <w:tcPr>
            <w:tcW w:w="850" w:type="dxa"/>
            <w:shd w:val="clear" w:color="auto" w:fill="auto"/>
            <w:noWrap/>
            <w:vAlign w:val="center"/>
          </w:tcPr>
          <w:p w14:paraId="2282D02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68F622A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737" w:type="dxa"/>
            <w:shd w:val="clear" w:color="auto" w:fill="auto"/>
            <w:noWrap/>
            <w:vAlign w:val="center"/>
          </w:tcPr>
          <w:p w14:paraId="7EB40413">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353F10E0">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68BC2E8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终端型-S20铜 美变100KVA内配：进线总开关M1-250/3P 200A手动，出线3路：200A*1+100*2断路器，有补偿、选用小型断路器、复合开关、电容器分共补动态样式配置，开关元件以及其它辅料附件由公司标准配置，其中不含计量表计、采集终端预留其安装位置</w:t>
            </w:r>
          </w:p>
        </w:tc>
      </w:tr>
      <w:tr w14:paraId="10D2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61" w:type="dxa"/>
            <w:shd w:val="clear" w:color="auto" w:fill="auto"/>
            <w:noWrap/>
            <w:vAlign w:val="center"/>
          </w:tcPr>
          <w:p w14:paraId="5E7C72B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550" w:type="dxa"/>
            <w:shd w:val="clear" w:color="auto" w:fill="auto"/>
            <w:noWrap/>
            <w:vAlign w:val="center"/>
          </w:tcPr>
          <w:p w14:paraId="641815D1">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kern w:val="2"/>
                <w:sz w:val="24"/>
                <w:szCs w:val="24"/>
                <w:lang w:val="en-US" w:eastAsia="zh-CN" w:bidi="ar-SA"/>
              </w:rPr>
              <w:t>美式箱变（含配套设备）</w:t>
            </w:r>
          </w:p>
        </w:tc>
        <w:tc>
          <w:tcPr>
            <w:tcW w:w="2425" w:type="dxa"/>
            <w:shd w:val="clear" w:color="auto" w:fill="auto"/>
            <w:noWrap/>
            <w:vAlign w:val="center"/>
          </w:tcPr>
          <w:p w14:paraId="0AF2274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ZGS-50KVA 10/0.4kv终端型</w:t>
            </w:r>
          </w:p>
        </w:tc>
        <w:tc>
          <w:tcPr>
            <w:tcW w:w="850" w:type="dxa"/>
            <w:shd w:val="clear" w:color="auto" w:fill="auto"/>
            <w:noWrap/>
            <w:vAlign w:val="center"/>
          </w:tcPr>
          <w:p w14:paraId="1168ECB7">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台</w:t>
            </w:r>
          </w:p>
        </w:tc>
        <w:tc>
          <w:tcPr>
            <w:tcW w:w="1213" w:type="dxa"/>
            <w:shd w:val="clear" w:color="auto" w:fill="auto"/>
            <w:noWrap/>
            <w:vAlign w:val="center"/>
          </w:tcPr>
          <w:p w14:paraId="489AC05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737" w:type="dxa"/>
            <w:shd w:val="clear" w:color="auto" w:fill="auto"/>
            <w:noWrap/>
            <w:vAlign w:val="center"/>
          </w:tcPr>
          <w:p w14:paraId="7F8E4434">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6C9FEE6C">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29DC118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终端型-S20铜 美变50KVA内配：进线总开关M1-125/3P 100A手动，出线3路：100A*1+63*2断路器，有补偿、选用小型断路器、复合开关、电容器分共补动态样式配置，开关元件以及其它辅料附件由公司标准配置，其中不含计量表计、采集终端预留其安装位置</w:t>
            </w:r>
          </w:p>
        </w:tc>
      </w:tr>
      <w:tr w14:paraId="5DC0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411" w:type="dxa"/>
            <w:gridSpan w:val="2"/>
            <w:shd w:val="clear" w:color="auto" w:fill="auto"/>
            <w:noWrap/>
            <w:vAlign w:val="center"/>
          </w:tcPr>
          <w:p w14:paraId="19BA8E6F">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225" w:type="dxa"/>
            <w:gridSpan w:val="4"/>
            <w:shd w:val="clear" w:color="auto" w:fill="auto"/>
            <w:noWrap/>
            <w:vAlign w:val="center"/>
          </w:tcPr>
          <w:p w14:paraId="1D39A1F4">
            <w:pPr>
              <w:widowControl/>
              <w:jc w:val="center"/>
              <w:textAlignment w:val="baseline"/>
              <w:rPr>
                <w:rFonts w:hint="eastAsia" w:ascii="仿宋" w:hAnsi="仿宋" w:eastAsia="仿宋" w:cs="楷体_GB2312"/>
                <w:color w:val="000000"/>
                <w:sz w:val="24"/>
                <w:szCs w:val="24"/>
              </w:rPr>
            </w:pPr>
          </w:p>
        </w:tc>
        <w:tc>
          <w:tcPr>
            <w:tcW w:w="1100" w:type="dxa"/>
            <w:shd w:val="clear" w:color="auto" w:fill="auto"/>
            <w:noWrap/>
            <w:vAlign w:val="center"/>
          </w:tcPr>
          <w:p w14:paraId="13CDC156">
            <w:pPr>
              <w:widowControl/>
              <w:jc w:val="center"/>
              <w:textAlignment w:val="baseline"/>
              <w:rPr>
                <w:rFonts w:hint="eastAsia" w:ascii="仿宋" w:hAnsi="仿宋" w:eastAsia="仿宋" w:cs="楷体_GB2312"/>
                <w:color w:val="000000"/>
                <w:sz w:val="24"/>
                <w:szCs w:val="24"/>
                <w:lang w:val="en-US" w:eastAsia="zh-CN"/>
              </w:rPr>
            </w:pPr>
          </w:p>
        </w:tc>
        <w:tc>
          <w:tcPr>
            <w:tcW w:w="1886" w:type="dxa"/>
            <w:shd w:val="clear" w:color="auto" w:fill="auto"/>
            <w:noWrap/>
            <w:vAlign w:val="center"/>
          </w:tcPr>
          <w:p w14:paraId="18208842">
            <w:pPr>
              <w:widowControl/>
              <w:jc w:val="center"/>
              <w:textAlignment w:val="baseline"/>
              <w:rPr>
                <w:rFonts w:hint="eastAsia" w:ascii="仿宋" w:hAnsi="仿宋" w:eastAsia="仿宋" w:cs="楷体_GB2312"/>
                <w:color w:val="000000"/>
                <w:sz w:val="24"/>
                <w:szCs w:val="24"/>
                <w:lang w:val="en-US" w:eastAsia="zh-CN"/>
              </w:rPr>
            </w:pPr>
          </w:p>
        </w:tc>
      </w:tr>
      <w:tr w14:paraId="22380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622" w:type="dxa"/>
            <w:gridSpan w:val="8"/>
            <w:shd w:val="clear" w:color="auto" w:fill="auto"/>
            <w:noWrap/>
            <w:vAlign w:val="center"/>
          </w:tcPr>
          <w:p w14:paraId="74716D13">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说明：1、以上报价含13%增值税、含运费(</w:t>
            </w:r>
            <w:r>
              <w:rPr>
                <w:rFonts w:hint="eastAsia" w:ascii="仿宋" w:hAnsi="仿宋" w:eastAsia="仿宋" w:cs="仿宋"/>
                <w:sz w:val="24"/>
                <w:szCs w:val="24"/>
                <w:lang w:val="en-US" w:eastAsia="zh-CN"/>
              </w:rPr>
              <w:t>至</w:t>
            </w:r>
            <w:r>
              <w:rPr>
                <w:rFonts w:hint="eastAsia" w:ascii="仿宋" w:hAnsi="仿宋" w:eastAsia="仿宋" w:cs="仿宋"/>
                <w:sz w:val="24"/>
                <w:szCs w:val="24"/>
                <w:lang w:eastAsia="zh-CN"/>
              </w:rPr>
              <w:t>淮南</w:t>
            </w:r>
            <w:r>
              <w:rPr>
                <w:rFonts w:hint="eastAsia" w:ascii="仿宋" w:hAnsi="仿宋" w:eastAsia="仿宋" w:cs="仿宋"/>
                <w:sz w:val="24"/>
                <w:szCs w:val="24"/>
                <w:lang w:val="en-US" w:eastAsia="zh-CN"/>
              </w:rPr>
              <w:t>淮南市市区境内指定位置</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卸车费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生产计划以现场实际需求而定。</w:t>
            </w:r>
          </w:p>
          <w:p w14:paraId="28AD25F5">
            <w:pPr>
              <w:bidi w:val="0"/>
              <w:ind w:firstLine="720" w:firstLineChars="300"/>
              <w:rPr>
                <w:rFonts w:hint="eastAsia" w:ascii="仿宋" w:hAnsi="仿宋" w:eastAsia="仿宋" w:cs="仿宋"/>
                <w:sz w:val="24"/>
                <w:szCs w:val="24"/>
                <w:lang w:eastAsia="zh-CN"/>
              </w:rPr>
            </w:pPr>
            <w:r>
              <w:rPr>
                <w:rFonts w:hint="eastAsia" w:ascii="仿宋" w:hAnsi="仿宋" w:eastAsia="仿宋" w:cs="仿宋"/>
                <w:sz w:val="24"/>
                <w:szCs w:val="24"/>
                <w:lang w:eastAsia="zh-CN"/>
              </w:rPr>
              <w:t>3、本报价开关元件以及其它辅料附件由</w:t>
            </w:r>
            <w:r>
              <w:rPr>
                <w:rFonts w:hint="eastAsia" w:ascii="仿宋" w:hAnsi="仿宋" w:eastAsia="仿宋" w:cs="仿宋"/>
                <w:sz w:val="24"/>
                <w:szCs w:val="24"/>
                <w:lang w:val="en-US" w:eastAsia="zh-CN"/>
              </w:rPr>
              <w:t>报价</w:t>
            </w:r>
            <w:r>
              <w:rPr>
                <w:rFonts w:hint="eastAsia" w:ascii="仿宋" w:hAnsi="仿宋" w:eastAsia="仿宋" w:cs="仿宋"/>
                <w:sz w:val="24"/>
                <w:szCs w:val="24"/>
                <w:lang w:eastAsia="zh-CN"/>
              </w:rPr>
              <w:t xml:space="preserve">公司标准配置，其中不含计量表计、采集终端预留其安装位置。        </w:t>
            </w:r>
          </w:p>
          <w:p w14:paraId="5D9D6763">
            <w:pPr>
              <w:bidi w:val="0"/>
              <w:ind w:firstLine="720" w:firstLineChars="300"/>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4、电容补偿(30%)：选用小型断路器、 复合开关、电力电容器分共补动态样式配置。        </w:t>
            </w:r>
          </w:p>
          <w:p w14:paraId="7189E2EB">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sz w:val="24"/>
                <w:szCs w:val="24"/>
                <w:lang w:eastAsia="zh-CN"/>
              </w:rPr>
              <w:t>5、外壳选用冷轧铁板喷塑（颜色国网绿）,变压器采用S20全铜材质。</w:t>
            </w:r>
            <w:r>
              <w:rPr>
                <w:rFonts w:hint="eastAsia" w:ascii="仿宋" w:hAnsi="仿宋" w:eastAsia="仿宋" w:cs="仿宋"/>
                <w:sz w:val="24"/>
                <w:szCs w:val="24"/>
                <w:lang w:val="en-US" w:eastAsia="zh-CN"/>
              </w:rPr>
              <w:t>质保期为设备安装完成，验收合格之日起2年。</w:t>
            </w:r>
            <w:r>
              <w:rPr>
                <w:rFonts w:hint="eastAsia" w:ascii="仿宋" w:hAnsi="仿宋" w:eastAsia="仿宋" w:cs="仿宋"/>
                <w:sz w:val="24"/>
                <w:szCs w:val="24"/>
                <w:lang w:eastAsia="zh-CN"/>
              </w:rPr>
              <w:t xml:space="preserve">       </w:t>
            </w:r>
          </w:p>
        </w:tc>
      </w:tr>
    </w:tbl>
    <w:p w14:paraId="4992AB0D">
      <w:pPr>
        <w:pStyle w:val="2"/>
        <w:numPr>
          <w:ilvl w:val="0"/>
          <w:numId w:val="0"/>
        </w:numPr>
        <w:rPr>
          <w:rFonts w:hint="eastAsia"/>
          <w:lang w:val="en-US" w:eastAsia="zh-CN"/>
        </w:rPr>
      </w:pPr>
    </w:p>
    <w:p w14:paraId="6D006DE2">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二、交付与验收</w:t>
      </w:r>
    </w:p>
    <w:p w14:paraId="44288909">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1.交付时间：</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年</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月</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日</w:t>
      </w:r>
    </w:p>
    <w:p w14:paraId="03EEB8B3">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2.交付地点：淮南市路灯改造合同能源管理项目现场。</w:t>
      </w:r>
    </w:p>
    <w:p w14:paraId="1AFD25C3">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3.验收期限：货物送达后[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]小时内初步验收，质量检验期为收货后[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]日。</w:t>
      </w:r>
    </w:p>
    <w:p w14:paraId="5F96F0A6">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三、质保期</w:t>
      </w:r>
    </w:p>
    <w:p w14:paraId="5B4B2900">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质保期为[</w:t>
      </w:r>
      <w:r>
        <w:rPr>
          <w:rFonts w:hint="eastAsia" w:ascii="仿宋" w:hAnsi="仿宋" w:eastAsia="仿宋" w:cs="仿宋"/>
          <w:sz w:val="32"/>
          <w:szCs w:val="32"/>
          <w:u w:val="single"/>
          <w:lang w:val="en-US" w:eastAsia="zh-CN"/>
        </w:rPr>
        <w:t>2</w:t>
      </w:r>
      <w:r>
        <w:rPr>
          <w:rFonts w:hint="eastAsia" w:ascii="仿宋" w:hAnsi="仿宋" w:eastAsia="仿宋" w:cs="仿宋"/>
          <w:sz w:val="32"/>
          <w:szCs w:val="32"/>
          <w:u w:val="none"/>
          <w:lang w:val="en-US" w:eastAsia="zh-CN"/>
        </w:rPr>
        <w:t>]年，</w:t>
      </w:r>
      <w:r>
        <w:rPr>
          <w:rFonts w:hint="eastAsia" w:ascii="仿宋" w:hAnsi="仿宋" w:eastAsia="仿宋" w:cs="仿宋"/>
          <w:sz w:val="32"/>
          <w:szCs w:val="32"/>
          <w:lang w:val="en-US" w:eastAsia="zh-CN"/>
        </w:rPr>
        <w:t>设备安装完成，验收合格之日</w:t>
      </w:r>
      <w:r>
        <w:rPr>
          <w:rFonts w:hint="eastAsia" w:ascii="仿宋" w:hAnsi="仿宋" w:eastAsia="仿宋" w:cs="仿宋"/>
          <w:sz w:val="32"/>
          <w:szCs w:val="32"/>
          <w:u w:val="none"/>
          <w:lang w:val="en-US" w:eastAsia="zh-CN"/>
        </w:rPr>
        <w:t>起计算。</w:t>
      </w:r>
    </w:p>
    <w:p w14:paraId="176E33C7">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四、付款方式</w:t>
      </w:r>
    </w:p>
    <w:p w14:paraId="208E6163">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执行主合同第三章付款方式[第一/二/三]种方式，具体约定如下：</w:t>
      </w:r>
    </w:p>
    <w:p w14:paraId="0D562A2A">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预付款：</w:t>
      </w:r>
      <w:r>
        <w:rPr>
          <w:rFonts w:hint="eastAsia" w:ascii="仿宋" w:hAnsi="仿宋" w:eastAsia="仿宋" w:cs="仿宋"/>
          <w:sz w:val="32"/>
          <w:szCs w:val="32"/>
          <w:u w:val="single"/>
          <w:lang w:val="en-US" w:eastAsia="zh-CN"/>
        </w:rPr>
        <w:t>无</w:t>
      </w:r>
      <w:r>
        <w:rPr>
          <w:rFonts w:hint="eastAsia" w:ascii="仿宋" w:hAnsi="仿宋" w:eastAsia="仿宋" w:cs="仿宋"/>
          <w:sz w:val="32"/>
          <w:szCs w:val="32"/>
          <w:u w:val="none"/>
          <w:lang w:val="en-US" w:eastAsia="zh-CN"/>
        </w:rPr>
        <w:t>，支付时间：</w:t>
      </w:r>
      <w:r>
        <w:rPr>
          <w:rFonts w:hint="eastAsia" w:ascii="仿宋" w:hAnsi="仿宋" w:eastAsia="仿宋" w:cs="仿宋"/>
          <w:sz w:val="32"/>
          <w:szCs w:val="32"/>
          <w:u w:val="single"/>
          <w:lang w:val="en-US" w:eastAsia="zh-CN"/>
        </w:rPr>
        <w:t>无</w:t>
      </w:r>
    </w:p>
    <w:p w14:paraId="06AA6937">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进度款/发货款：</w:t>
      </w:r>
      <w:r>
        <w:rPr>
          <w:rFonts w:hint="eastAsia" w:ascii="仿宋" w:hAnsi="仿宋" w:eastAsia="仿宋" w:cs="仿宋"/>
          <w:sz w:val="32"/>
          <w:szCs w:val="32"/>
          <w:u w:val="single"/>
          <w:lang w:val="en-US" w:eastAsia="zh-CN"/>
        </w:rPr>
        <w:t>100%</w:t>
      </w:r>
      <w:r>
        <w:rPr>
          <w:rFonts w:hint="eastAsia" w:ascii="仿宋" w:hAnsi="仿宋" w:eastAsia="仿宋" w:cs="仿宋"/>
          <w:sz w:val="32"/>
          <w:szCs w:val="32"/>
          <w:u w:val="none"/>
          <w:lang w:val="en-US" w:eastAsia="zh-CN"/>
        </w:rPr>
        <w:t>，支付时间：</w:t>
      </w:r>
      <w:r>
        <w:rPr>
          <w:rFonts w:hint="eastAsia" w:ascii="仿宋" w:hAnsi="仿宋" w:eastAsia="仿宋" w:cs="仿宋"/>
          <w:sz w:val="32"/>
          <w:szCs w:val="32"/>
          <w:u w:val="single"/>
          <w:lang w:val="en-US" w:eastAsia="zh-CN"/>
        </w:rPr>
        <w:t>次月15日前</w:t>
      </w:r>
    </w:p>
    <w:p w14:paraId="1789BB66">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single"/>
          <w:lang w:val="en-US" w:eastAsia="zh-CN"/>
        </w:rPr>
      </w:pPr>
      <w:r>
        <w:rPr>
          <w:rFonts w:hint="eastAsia" w:ascii="仿宋" w:hAnsi="仿宋" w:eastAsia="仿宋" w:cs="仿宋"/>
          <w:sz w:val="32"/>
          <w:szCs w:val="32"/>
          <w:u w:val="single"/>
          <w:lang w:val="en-US" w:eastAsia="zh-CN"/>
        </w:rPr>
        <w:t>。</w:t>
      </w:r>
    </w:p>
    <w:p w14:paraId="4395C8DC">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 验收款：</w:t>
      </w:r>
      <w:r>
        <w:rPr>
          <w:rFonts w:hint="eastAsia" w:ascii="仿宋" w:hAnsi="仿宋" w:eastAsia="仿宋" w:cs="仿宋"/>
          <w:sz w:val="32"/>
          <w:szCs w:val="32"/>
          <w:u w:val="single"/>
          <w:lang w:val="en-US" w:eastAsia="zh-CN"/>
        </w:rPr>
        <w:t>无</w:t>
      </w:r>
    </w:p>
    <w:p w14:paraId="7B62FE0B">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质保金：</w:t>
      </w:r>
      <w:r>
        <w:rPr>
          <w:rFonts w:hint="eastAsia" w:ascii="仿宋" w:hAnsi="仿宋" w:eastAsia="仿宋" w:cs="仿宋"/>
          <w:sz w:val="32"/>
          <w:szCs w:val="32"/>
          <w:u w:val="single"/>
          <w:lang w:val="en-US" w:eastAsia="zh-CN"/>
        </w:rPr>
        <w:t>无</w:t>
      </w:r>
      <w:r>
        <w:rPr>
          <w:rFonts w:hint="eastAsia" w:ascii="仿宋" w:hAnsi="仿宋" w:eastAsia="仿宋" w:cs="仿宋"/>
          <w:sz w:val="32"/>
          <w:szCs w:val="32"/>
          <w:u w:val="none"/>
          <w:lang w:val="en-US" w:eastAsia="zh-CN"/>
        </w:rPr>
        <w:t>，支付时间：</w:t>
      </w:r>
      <w:r>
        <w:rPr>
          <w:rFonts w:hint="eastAsia" w:ascii="仿宋" w:hAnsi="仿宋" w:eastAsia="仿宋" w:cs="仿宋"/>
          <w:sz w:val="32"/>
          <w:szCs w:val="32"/>
          <w:u w:val="single"/>
          <w:lang w:val="en-US" w:eastAsia="zh-CN"/>
        </w:rPr>
        <w:t>无</w:t>
      </w:r>
      <w:r>
        <w:rPr>
          <w:rFonts w:hint="eastAsia" w:ascii="仿宋" w:hAnsi="仿宋" w:eastAsia="仿宋" w:cs="仿宋"/>
          <w:sz w:val="32"/>
          <w:szCs w:val="32"/>
          <w:u w:val="none"/>
          <w:lang w:val="en-US" w:eastAsia="zh-CN"/>
        </w:rPr>
        <w:t>。</w:t>
      </w:r>
    </w:p>
    <w:p w14:paraId="3BEA5DB2">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五、质量标准</w:t>
      </w:r>
    </w:p>
    <w:p w14:paraId="4121C82D">
      <w:pPr>
        <w:ind w:firstLine="560" w:firstLineChars="200"/>
        <w:jc w:val="left"/>
        <w:rPr>
          <w:rFonts w:hint="eastAsia" w:ascii="仿宋" w:hAnsi="仿宋" w:eastAsia="仿宋" w:cs="仿宋"/>
          <w:sz w:val="28"/>
          <w:szCs w:val="28"/>
          <w:lang w:val="en-US" w:eastAsia="zh-CN"/>
        </w:rPr>
      </w:pPr>
      <w:r>
        <w:rPr>
          <w:rFonts w:hint="eastAsia" w:ascii="仿宋" w:hAnsi="仿宋" w:eastAsia="仿宋" w:cs="楷体_GB2312"/>
          <w:color w:val="000000"/>
          <w:sz w:val="28"/>
          <w:szCs w:val="28"/>
          <w:highlight w:val="none"/>
          <w:lang w:val="en-US" w:eastAsia="zh-CN"/>
        </w:rPr>
        <w:t>质量必须符合国家标准规范的技术要求</w:t>
      </w:r>
      <w:r>
        <w:rPr>
          <w:rFonts w:hint="eastAsia" w:ascii="仿宋" w:hAnsi="仿宋" w:eastAsia="仿宋" w:cs="仿宋"/>
          <w:sz w:val="28"/>
          <w:szCs w:val="28"/>
          <w:lang w:val="en-US" w:eastAsia="zh-CN"/>
        </w:rPr>
        <w:t>。</w:t>
      </w:r>
    </w:p>
    <w:p w14:paraId="4BED88FB">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六、乙方收款账户</w:t>
      </w:r>
    </w:p>
    <w:p w14:paraId="40DFFAB0">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户名：</w:t>
      </w:r>
    </w:p>
    <w:p w14:paraId="65576D9F">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开户行：</w:t>
      </w:r>
    </w:p>
    <w:p w14:paraId="6218540E">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银行账号：</w:t>
      </w:r>
    </w:p>
    <w:p w14:paraId="79F55AD8">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七、其他约定</w:t>
      </w:r>
    </w:p>
    <w:p w14:paraId="6934EAE6">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（暂无）</w:t>
      </w:r>
    </w:p>
    <w:p w14:paraId="0767B360">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甲方确认（盖章）：</w:t>
      </w:r>
    </w:p>
    <w:p w14:paraId="2F181D90">
      <w:pPr>
        <w:jc w:val="left"/>
        <w:rPr>
          <w:rFonts w:hint="eastAsia" w:ascii="仿宋" w:hAnsi="仿宋" w:eastAsia="仿宋" w:cs="仿宋"/>
          <w:sz w:val="32"/>
          <w:szCs w:val="32"/>
          <w:lang w:val="en-US" w:eastAsia="zh-CN"/>
        </w:rPr>
      </w:pPr>
    </w:p>
    <w:p w14:paraId="490CA328">
      <w:pPr>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法定代表人或代理人签或印：                   年  月  日</w:t>
      </w:r>
    </w:p>
    <w:p w14:paraId="27DCDCC4">
      <w:pPr>
        <w:jc w:val="left"/>
        <w:rPr>
          <w:rFonts w:hint="eastAsia" w:ascii="仿宋" w:hAnsi="仿宋" w:eastAsia="仿宋" w:cs="仿宋"/>
          <w:sz w:val="32"/>
          <w:szCs w:val="32"/>
          <w:lang w:val="en-US" w:eastAsia="zh-CN"/>
        </w:rPr>
      </w:pPr>
    </w:p>
    <w:p w14:paraId="1230892C">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乙方确认（盖章）：</w:t>
      </w:r>
    </w:p>
    <w:p w14:paraId="58B166E1">
      <w:pPr>
        <w:jc w:val="left"/>
        <w:rPr>
          <w:rFonts w:hint="eastAsia" w:ascii="仿宋" w:hAnsi="仿宋" w:eastAsia="仿宋" w:cs="仿宋"/>
          <w:sz w:val="32"/>
          <w:szCs w:val="32"/>
          <w:lang w:val="en-US" w:eastAsia="zh-CN"/>
        </w:rPr>
      </w:pPr>
    </w:p>
    <w:p w14:paraId="6A6C77F8">
      <w:pPr>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法定代表人或代理人签或印：                   年  月  日</w:t>
      </w:r>
    </w:p>
    <w:p w14:paraId="0E89D8BB">
      <w:pPr>
        <w:jc w:val="left"/>
        <w:rPr>
          <w:rFonts w:hint="default" w:ascii="仿宋" w:hAnsi="仿宋" w:eastAsia="仿宋" w:cs="仿宋"/>
          <w:sz w:val="32"/>
          <w:szCs w:val="32"/>
          <w:lang w:val="en-US" w:eastAsia="zh-CN"/>
        </w:rPr>
      </w:pPr>
    </w:p>
    <w:p w14:paraId="26A09C9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sz w:val="32"/>
          <w:szCs w:val="32"/>
          <w:u w:val="none"/>
          <w:lang w:val="en-US" w:eastAsia="zh-CN"/>
        </w:rPr>
      </w:pPr>
    </w:p>
    <w:p w14:paraId="3774343F">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p>
    <w:p w14:paraId="7AA7115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51E1077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lang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BC8B535-878F-4D54-86CB-1BFA05284A14}"/>
  </w:font>
  <w:font w:name="黑体">
    <w:panose1 w:val="02010609060101010101"/>
    <w:charset w:val="86"/>
    <w:family w:val="auto"/>
    <w:pitch w:val="default"/>
    <w:sig w:usb0="800002BF" w:usb1="38CF7CFA" w:usb2="00000016" w:usb3="00000000" w:csb0="00040001" w:csb1="00000000"/>
    <w:embedRegular r:id="rId2" w:fontKey="{369874ED-8652-4305-B4B5-C44C038CEB0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F0D46CBB-549C-4EE7-8A9B-B1327E409334}"/>
  </w:font>
  <w:font w:name="楷体_GB2312">
    <w:panose1 w:val="02010609030101010101"/>
    <w:charset w:val="86"/>
    <w:family w:val="modern"/>
    <w:pitch w:val="default"/>
    <w:sig w:usb0="00000001" w:usb1="080E0000" w:usb2="00000000" w:usb3="00000000" w:csb0="00040000" w:csb1="00000000"/>
    <w:embedRegular r:id="rId4" w:fontKey="{56F1D0F0-1175-49FE-B787-4034BE7EED54}"/>
  </w:font>
  <w:font w:name="楷体">
    <w:panose1 w:val="02010609060101010101"/>
    <w:charset w:val="86"/>
    <w:family w:val="auto"/>
    <w:pitch w:val="default"/>
    <w:sig w:usb0="800002BF" w:usb1="38CF7CFA" w:usb2="00000016" w:usb3="00000000" w:csb0="00040001" w:csb1="00000000"/>
    <w:embedRegular r:id="rId5" w:fontKey="{23B1E773-046B-4D22-A8F6-08C8637DC722}"/>
  </w:font>
  <w:font w:name="方正仿宋_GB2312">
    <w:altName w:val="仿宋"/>
    <w:panose1 w:val="02000000000000000000"/>
    <w:charset w:val="86"/>
    <w:family w:val="auto"/>
    <w:pitch w:val="default"/>
    <w:sig w:usb0="00000000" w:usb1="00000000" w:usb2="00000012" w:usb3="00000000" w:csb0="00040001" w:csb1="00000000"/>
    <w:embedRegular r:id="rId6" w:fontKey="{019EF079-4326-405D-80E7-D94872307A71}"/>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98E839B8"/>
    <w:multiLevelType w:val="singleLevel"/>
    <w:tmpl w:val="98E839B8"/>
    <w:lvl w:ilvl="0" w:tentative="0">
      <w:start w:val="1"/>
      <w:numFmt w:val="chineseCounting"/>
      <w:suff w:val="nothing"/>
      <w:lvlText w:val="%1、"/>
      <w:lvlJc w:val="left"/>
      <w:rPr>
        <w:rFonts w:hint="eastAsia"/>
      </w:rPr>
    </w:lvl>
  </w:abstractNum>
  <w:abstractNum w:abstractNumId="2">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60C6A"/>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27CB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25893"/>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65781"/>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22277"/>
    <w:rsid w:val="01944054"/>
    <w:rsid w:val="01D7751B"/>
    <w:rsid w:val="01E17540"/>
    <w:rsid w:val="01E90844"/>
    <w:rsid w:val="02174D5E"/>
    <w:rsid w:val="02223D56"/>
    <w:rsid w:val="023D293E"/>
    <w:rsid w:val="024408DF"/>
    <w:rsid w:val="02557C87"/>
    <w:rsid w:val="025B2DC4"/>
    <w:rsid w:val="026223A4"/>
    <w:rsid w:val="02641C78"/>
    <w:rsid w:val="027D0F8C"/>
    <w:rsid w:val="02994018"/>
    <w:rsid w:val="02E828A9"/>
    <w:rsid w:val="02FA79DE"/>
    <w:rsid w:val="03092820"/>
    <w:rsid w:val="037C1244"/>
    <w:rsid w:val="038C592B"/>
    <w:rsid w:val="03AE456B"/>
    <w:rsid w:val="03B379CE"/>
    <w:rsid w:val="03E424F8"/>
    <w:rsid w:val="03EA1C8C"/>
    <w:rsid w:val="03FF434E"/>
    <w:rsid w:val="040D00EE"/>
    <w:rsid w:val="040D3FBD"/>
    <w:rsid w:val="04134860"/>
    <w:rsid w:val="04166958"/>
    <w:rsid w:val="04924CF7"/>
    <w:rsid w:val="04BC223F"/>
    <w:rsid w:val="04DB3660"/>
    <w:rsid w:val="05045994"/>
    <w:rsid w:val="050D2A9B"/>
    <w:rsid w:val="05393890"/>
    <w:rsid w:val="054364BD"/>
    <w:rsid w:val="055661F0"/>
    <w:rsid w:val="05AD7DDA"/>
    <w:rsid w:val="05D435B9"/>
    <w:rsid w:val="060519C4"/>
    <w:rsid w:val="060E6ACB"/>
    <w:rsid w:val="061614DB"/>
    <w:rsid w:val="061B2F96"/>
    <w:rsid w:val="06436049"/>
    <w:rsid w:val="066833E1"/>
    <w:rsid w:val="066F5090"/>
    <w:rsid w:val="06874187"/>
    <w:rsid w:val="06886587"/>
    <w:rsid w:val="06A31941"/>
    <w:rsid w:val="06AF07BD"/>
    <w:rsid w:val="06B87099"/>
    <w:rsid w:val="06C62F02"/>
    <w:rsid w:val="06D80E87"/>
    <w:rsid w:val="06DD649D"/>
    <w:rsid w:val="06F757B1"/>
    <w:rsid w:val="073F2CB4"/>
    <w:rsid w:val="07417E9B"/>
    <w:rsid w:val="07724A47"/>
    <w:rsid w:val="07944DAE"/>
    <w:rsid w:val="07A81B10"/>
    <w:rsid w:val="07AB20F7"/>
    <w:rsid w:val="07BD1061"/>
    <w:rsid w:val="07D6456B"/>
    <w:rsid w:val="07EC2E3C"/>
    <w:rsid w:val="07FC224D"/>
    <w:rsid w:val="07FD6BA9"/>
    <w:rsid w:val="080D4B60"/>
    <w:rsid w:val="080F2C02"/>
    <w:rsid w:val="08193505"/>
    <w:rsid w:val="08204893"/>
    <w:rsid w:val="0829087A"/>
    <w:rsid w:val="08444A26"/>
    <w:rsid w:val="085A5FF7"/>
    <w:rsid w:val="085B58CB"/>
    <w:rsid w:val="0878022B"/>
    <w:rsid w:val="087C32B0"/>
    <w:rsid w:val="08DA0EE6"/>
    <w:rsid w:val="08F25C20"/>
    <w:rsid w:val="08F875BE"/>
    <w:rsid w:val="08FD2E27"/>
    <w:rsid w:val="09054DD3"/>
    <w:rsid w:val="090E293E"/>
    <w:rsid w:val="09297778"/>
    <w:rsid w:val="0992531D"/>
    <w:rsid w:val="099A2423"/>
    <w:rsid w:val="09D640F0"/>
    <w:rsid w:val="09E0077E"/>
    <w:rsid w:val="09E71B0D"/>
    <w:rsid w:val="0A187F18"/>
    <w:rsid w:val="0A747118"/>
    <w:rsid w:val="0A770227"/>
    <w:rsid w:val="0A8A693C"/>
    <w:rsid w:val="0B2D79F3"/>
    <w:rsid w:val="0B3643CE"/>
    <w:rsid w:val="0B5807E8"/>
    <w:rsid w:val="0B61144B"/>
    <w:rsid w:val="0B6727D9"/>
    <w:rsid w:val="0B7005D5"/>
    <w:rsid w:val="0B7F3FC7"/>
    <w:rsid w:val="0B9E444D"/>
    <w:rsid w:val="0BCA2B82"/>
    <w:rsid w:val="0BCD088E"/>
    <w:rsid w:val="0BEF455D"/>
    <w:rsid w:val="0C2A5CE1"/>
    <w:rsid w:val="0C2D3A23"/>
    <w:rsid w:val="0C7D0506"/>
    <w:rsid w:val="0C917B0E"/>
    <w:rsid w:val="0CA4400B"/>
    <w:rsid w:val="0CAF268A"/>
    <w:rsid w:val="0CC51EAD"/>
    <w:rsid w:val="0D1D75F3"/>
    <w:rsid w:val="0D4E6655"/>
    <w:rsid w:val="0D657CAC"/>
    <w:rsid w:val="0D6D6787"/>
    <w:rsid w:val="0DC363ED"/>
    <w:rsid w:val="0DE40111"/>
    <w:rsid w:val="0DFD1216"/>
    <w:rsid w:val="0E1E7AC7"/>
    <w:rsid w:val="0E5C239D"/>
    <w:rsid w:val="0E7C5621"/>
    <w:rsid w:val="0E8511E4"/>
    <w:rsid w:val="0E975183"/>
    <w:rsid w:val="0EC22345"/>
    <w:rsid w:val="0F0C5B71"/>
    <w:rsid w:val="0F130CAE"/>
    <w:rsid w:val="0F36499C"/>
    <w:rsid w:val="0F417BF9"/>
    <w:rsid w:val="0F827BE2"/>
    <w:rsid w:val="0F9B0CA3"/>
    <w:rsid w:val="0FA20284"/>
    <w:rsid w:val="0FB57FB7"/>
    <w:rsid w:val="0FB81855"/>
    <w:rsid w:val="0FF26B15"/>
    <w:rsid w:val="10371EDE"/>
    <w:rsid w:val="106A2B50"/>
    <w:rsid w:val="10967DE9"/>
    <w:rsid w:val="10BD35C7"/>
    <w:rsid w:val="10F62635"/>
    <w:rsid w:val="11146F5F"/>
    <w:rsid w:val="113658F1"/>
    <w:rsid w:val="114A2981"/>
    <w:rsid w:val="115D6403"/>
    <w:rsid w:val="11823EC9"/>
    <w:rsid w:val="11943A3D"/>
    <w:rsid w:val="11C37223"/>
    <w:rsid w:val="121865DB"/>
    <w:rsid w:val="123C49C0"/>
    <w:rsid w:val="124A70DD"/>
    <w:rsid w:val="124B4C03"/>
    <w:rsid w:val="12563718"/>
    <w:rsid w:val="12687563"/>
    <w:rsid w:val="12747CB6"/>
    <w:rsid w:val="12B64F8D"/>
    <w:rsid w:val="12C66037"/>
    <w:rsid w:val="131840D7"/>
    <w:rsid w:val="133135DB"/>
    <w:rsid w:val="137D0DEC"/>
    <w:rsid w:val="13A75E69"/>
    <w:rsid w:val="13B452DE"/>
    <w:rsid w:val="13CC58CF"/>
    <w:rsid w:val="13DA623E"/>
    <w:rsid w:val="142851FC"/>
    <w:rsid w:val="142E2F90"/>
    <w:rsid w:val="143E4A1F"/>
    <w:rsid w:val="144D6A10"/>
    <w:rsid w:val="146E010D"/>
    <w:rsid w:val="14815B34"/>
    <w:rsid w:val="14E31122"/>
    <w:rsid w:val="156D4E90"/>
    <w:rsid w:val="15A32D3A"/>
    <w:rsid w:val="15B42ABF"/>
    <w:rsid w:val="15D87285"/>
    <w:rsid w:val="15DD7429"/>
    <w:rsid w:val="15F1161D"/>
    <w:rsid w:val="162A14E3"/>
    <w:rsid w:val="165321AB"/>
    <w:rsid w:val="165E3157"/>
    <w:rsid w:val="167F6DC6"/>
    <w:rsid w:val="16914FDA"/>
    <w:rsid w:val="16A11295"/>
    <w:rsid w:val="16E12CF7"/>
    <w:rsid w:val="16E96798"/>
    <w:rsid w:val="172779EC"/>
    <w:rsid w:val="173D7210"/>
    <w:rsid w:val="17612142"/>
    <w:rsid w:val="17AC1CA0"/>
    <w:rsid w:val="17D35D21"/>
    <w:rsid w:val="181276B9"/>
    <w:rsid w:val="182932F0"/>
    <w:rsid w:val="183270B7"/>
    <w:rsid w:val="18423519"/>
    <w:rsid w:val="18626802"/>
    <w:rsid w:val="188C387F"/>
    <w:rsid w:val="18CF170C"/>
    <w:rsid w:val="18EE62E8"/>
    <w:rsid w:val="18FF5677"/>
    <w:rsid w:val="1903089F"/>
    <w:rsid w:val="19185113"/>
    <w:rsid w:val="191E6BCD"/>
    <w:rsid w:val="19375EE1"/>
    <w:rsid w:val="19516FA3"/>
    <w:rsid w:val="19844D88"/>
    <w:rsid w:val="198C6C4C"/>
    <w:rsid w:val="19DB10C4"/>
    <w:rsid w:val="1A2C70C8"/>
    <w:rsid w:val="1A440C8A"/>
    <w:rsid w:val="1A6D0EC0"/>
    <w:rsid w:val="1A911621"/>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705992"/>
    <w:rsid w:val="1CB810E7"/>
    <w:rsid w:val="1D047E88"/>
    <w:rsid w:val="1D300C7D"/>
    <w:rsid w:val="1D4F1A4B"/>
    <w:rsid w:val="1DA63635"/>
    <w:rsid w:val="1DC169F2"/>
    <w:rsid w:val="1DC20D95"/>
    <w:rsid w:val="1DDE4B7D"/>
    <w:rsid w:val="1DED4DC0"/>
    <w:rsid w:val="1E175112"/>
    <w:rsid w:val="1E205195"/>
    <w:rsid w:val="1E7352C5"/>
    <w:rsid w:val="1E8474D2"/>
    <w:rsid w:val="1E862121"/>
    <w:rsid w:val="1EA01E32"/>
    <w:rsid w:val="1EA72A03"/>
    <w:rsid w:val="1EDB10BC"/>
    <w:rsid w:val="1EEB2F6D"/>
    <w:rsid w:val="1EF81C6E"/>
    <w:rsid w:val="1EFB52BB"/>
    <w:rsid w:val="1F1D3A9A"/>
    <w:rsid w:val="1F4E5D32"/>
    <w:rsid w:val="1F933745"/>
    <w:rsid w:val="1FB459B4"/>
    <w:rsid w:val="1FC529DB"/>
    <w:rsid w:val="1FD13B98"/>
    <w:rsid w:val="1FDE70B6"/>
    <w:rsid w:val="20366406"/>
    <w:rsid w:val="20505621"/>
    <w:rsid w:val="20576F06"/>
    <w:rsid w:val="20935552"/>
    <w:rsid w:val="20B00A53"/>
    <w:rsid w:val="20B322F1"/>
    <w:rsid w:val="20C52024"/>
    <w:rsid w:val="20DB53A4"/>
    <w:rsid w:val="20EE157B"/>
    <w:rsid w:val="20F51A7A"/>
    <w:rsid w:val="210112AE"/>
    <w:rsid w:val="2117534C"/>
    <w:rsid w:val="2127683B"/>
    <w:rsid w:val="212F6434"/>
    <w:rsid w:val="2167282F"/>
    <w:rsid w:val="21823A71"/>
    <w:rsid w:val="21C75A6D"/>
    <w:rsid w:val="21EA40DB"/>
    <w:rsid w:val="21EC12D9"/>
    <w:rsid w:val="21F901D7"/>
    <w:rsid w:val="21FB6297"/>
    <w:rsid w:val="22806203"/>
    <w:rsid w:val="22D60519"/>
    <w:rsid w:val="22EC5943"/>
    <w:rsid w:val="239B0E1A"/>
    <w:rsid w:val="23D83E1C"/>
    <w:rsid w:val="241E5CD3"/>
    <w:rsid w:val="243E3700"/>
    <w:rsid w:val="24457704"/>
    <w:rsid w:val="24653902"/>
    <w:rsid w:val="249B7324"/>
    <w:rsid w:val="24AE3B33"/>
    <w:rsid w:val="24C30629"/>
    <w:rsid w:val="24D52712"/>
    <w:rsid w:val="24D665AE"/>
    <w:rsid w:val="24FB7DC2"/>
    <w:rsid w:val="250E47E7"/>
    <w:rsid w:val="2524556B"/>
    <w:rsid w:val="25476B1B"/>
    <w:rsid w:val="255B083D"/>
    <w:rsid w:val="25602CE1"/>
    <w:rsid w:val="257B7155"/>
    <w:rsid w:val="25973639"/>
    <w:rsid w:val="25A91F14"/>
    <w:rsid w:val="25AB17E9"/>
    <w:rsid w:val="25C32FD6"/>
    <w:rsid w:val="25DD15C5"/>
    <w:rsid w:val="25E66CC5"/>
    <w:rsid w:val="25F767DC"/>
    <w:rsid w:val="265545F0"/>
    <w:rsid w:val="267E514F"/>
    <w:rsid w:val="26802C75"/>
    <w:rsid w:val="26C30DB4"/>
    <w:rsid w:val="26CD1C32"/>
    <w:rsid w:val="26EC030B"/>
    <w:rsid w:val="2710535A"/>
    <w:rsid w:val="27653C19"/>
    <w:rsid w:val="27952674"/>
    <w:rsid w:val="27AA0826"/>
    <w:rsid w:val="27F33914"/>
    <w:rsid w:val="281D61E9"/>
    <w:rsid w:val="28341F69"/>
    <w:rsid w:val="28520641"/>
    <w:rsid w:val="289C7B0E"/>
    <w:rsid w:val="28D3610D"/>
    <w:rsid w:val="293B0995"/>
    <w:rsid w:val="293E2974"/>
    <w:rsid w:val="294F692F"/>
    <w:rsid w:val="297F5466"/>
    <w:rsid w:val="29B91531"/>
    <w:rsid w:val="29BF55E6"/>
    <w:rsid w:val="29E7300B"/>
    <w:rsid w:val="2A0B6CFA"/>
    <w:rsid w:val="2A0C4820"/>
    <w:rsid w:val="2A62494D"/>
    <w:rsid w:val="2A706CFE"/>
    <w:rsid w:val="2B081AFA"/>
    <w:rsid w:val="2B0B655A"/>
    <w:rsid w:val="2B4F2C16"/>
    <w:rsid w:val="2B836D64"/>
    <w:rsid w:val="2B9E5EDC"/>
    <w:rsid w:val="2BAE3DE1"/>
    <w:rsid w:val="2BB67D92"/>
    <w:rsid w:val="2BF46AAA"/>
    <w:rsid w:val="2C1874AC"/>
    <w:rsid w:val="2C3D33B6"/>
    <w:rsid w:val="2C4120C7"/>
    <w:rsid w:val="2C905755"/>
    <w:rsid w:val="2CBC622A"/>
    <w:rsid w:val="2CBE44F7"/>
    <w:rsid w:val="2CDC497D"/>
    <w:rsid w:val="2D56013F"/>
    <w:rsid w:val="2D8A262B"/>
    <w:rsid w:val="2DEA7700"/>
    <w:rsid w:val="2E1343CF"/>
    <w:rsid w:val="2EAC23F6"/>
    <w:rsid w:val="2ED00512"/>
    <w:rsid w:val="2EDB1BAF"/>
    <w:rsid w:val="2EF44200"/>
    <w:rsid w:val="2F792957"/>
    <w:rsid w:val="2F8A6913"/>
    <w:rsid w:val="2FB15C4D"/>
    <w:rsid w:val="2FCF07C9"/>
    <w:rsid w:val="2FE247DD"/>
    <w:rsid w:val="305667F5"/>
    <w:rsid w:val="306E12CF"/>
    <w:rsid w:val="30B3121A"/>
    <w:rsid w:val="30C85944"/>
    <w:rsid w:val="30D51E0F"/>
    <w:rsid w:val="30E738F1"/>
    <w:rsid w:val="30FF0C3A"/>
    <w:rsid w:val="310438EA"/>
    <w:rsid w:val="31061FC9"/>
    <w:rsid w:val="310D5820"/>
    <w:rsid w:val="31172428"/>
    <w:rsid w:val="314A1D01"/>
    <w:rsid w:val="315947EF"/>
    <w:rsid w:val="317A6513"/>
    <w:rsid w:val="31ED3189"/>
    <w:rsid w:val="320C360F"/>
    <w:rsid w:val="323668DE"/>
    <w:rsid w:val="3249602F"/>
    <w:rsid w:val="325925CC"/>
    <w:rsid w:val="32891103"/>
    <w:rsid w:val="329A1F13"/>
    <w:rsid w:val="32E17034"/>
    <w:rsid w:val="32E755EC"/>
    <w:rsid w:val="330865C8"/>
    <w:rsid w:val="33134E71"/>
    <w:rsid w:val="333A41AC"/>
    <w:rsid w:val="33685601"/>
    <w:rsid w:val="33BC72B7"/>
    <w:rsid w:val="342D1CB8"/>
    <w:rsid w:val="3431735D"/>
    <w:rsid w:val="35074561"/>
    <w:rsid w:val="350F2F83"/>
    <w:rsid w:val="351153E0"/>
    <w:rsid w:val="35186507"/>
    <w:rsid w:val="351D3D85"/>
    <w:rsid w:val="35633E8E"/>
    <w:rsid w:val="35846234"/>
    <w:rsid w:val="358856A2"/>
    <w:rsid w:val="35AF0E81"/>
    <w:rsid w:val="35B91D00"/>
    <w:rsid w:val="35E825E5"/>
    <w:rsid w:val="36280C33"/>
    <w:rsid w:val="364C336E"/>
    <w:rsid w:val="36951773"/>
    <w:rsid w:val="36A54032"/>
    <w:rsid w:val="36C74958"/>
    <w:rsid w:val="36DE2889"/>
    <w:rsid w:val="36E56B24"/>
    <w:rsid w:val="37074CED"/>
    <w:rsid w:val="37476E97"/>
    <w:rsid w:val="37AA49DD"/>
    <w:rsid w:val="37C04013"/>
    <w:rsid w:val="37C52BDE"/>
    <w:rsid w:val="37DF20DE"/>
    <w:rsid w:val="37F126F4"/>
    <w:rsid w:val="37F92006"/>
    <w:rsid w:val="3802658C"/>
    <w:rsid w:val="38060B00"/>
    <w:rsid w:val="38122DB0"/>
    <w:rsid w:val="384004B6"/>
    <w:rsid w:val="384C6E5B"/>
    <w:rsid w:val="38991974"/>
    <w:rsid w:val="389D426B"/>
    <w:rsid w:val="38A449CC"/>
    <w:rsid w:val="38A71B2F"/>
    <w:rsid w:val="38CE232F"/>
    <w:rsid w:val="38E946AA"/>
    <w:rsid w:val="39184F8F"/>
    <w:rsid w:val="3942200C"/>
    <w:rsid w:val="39520B4C"/>
    <w:rsid w:val="39557F91"/>
    <w:rsid w:val="395A11E0"/>
    <w:rsid w:val="396D3120"/>
    <w:rsid w:val="39BB7FD9"/>
    <w:rsid w:val="39E311B9"/>
    <w:rsid w:val="39E60BE9"/>
    <w:rsid w:val="39FE1F65"/>
    <w:rsid w:val="3A2B0CF2"/>
    <w:rsid w:val="3A663AD8"/>
    <w:rsid w:val="3A6B5E65"/>
    <w:rsid w:val="3A6C4696"/>
    <w:rsid w:val="3ACB3575"/>
    <w:rsid w:val="3B12390A"/>
    <w:rsid w:val="3B3B35AF"/>
    <w:rsid w:val="3B5B73B5"/>
    <w:rsid w:val="3B602A9D"/>
    <w:rsid w:val="3B60677A"/>
    <w:rsid w:val="3B712735"/>
    <w:rsid w:val="3B985F13"/>
    <w:rsid w:val="3BA1126C"/>
    <w:rsid w:val="3BC00367"/>
    <w:rsid w:val="3BDA29D0"/>
    <w:rsid w:val="3C297AE3"/>
    <w:rsid w:val="3C677A85"/>
    <w:rsid w:val="3C6E6724"/>
    <w:rsid w:val="3C775E39"/>
    <w:rsid w:val="3C7F45CB"/>
    <w:rsid w:val="3C8A7F52"/>
    <w:rsid w:val="3C8C45D1"/>
    <w:rsid w:val="3CA9054F"/>
    <w:rsid w:val="3CC86CCC"/>
    <w:rsid w:val="3D0A64B2"/>
    <w:rsid w:val="3DC14145"/>
    <w:rsid w:val="3DCE00A6"/>
    <w:rsid w:val="3E0B6E71"/>
    <w:rsid w:val="3E135D25"/>
    <w:rsid w:val="3E2B306F"/>
    <w:rsid w:val="3E446845"/>
    <w:rsid w:val="3E5527E2"/>
    <w:rsid w:val="3E95498C"/>
    <w:rsid w:val="3EC8182B"/>
    <w:rsid w:val="3ECD30E8"/>
    <w:rsid w:val="3EF8699C"/>
    <w:rsid w:val="3F06588A"/>
    <w:rsid w:val="3F0C4B17"/>
    <w:rsid w:val="3F0F473E"/>
    <w:rsid w:val="3F1625EF"/>
    <w:rsid w:val="3F163D1F"/>
    <w:rsid w:val="3F465FB7"/>
    <w:rsid w:val="3F501EC8"/>
    <w:rsid w:val="3F682D95"/>
    <w:rsid w:val="3F7D3D9E"/>
    <w:rsid w:val="3F9B5FD2"/>
    <w:rsid w:val="3F9F1F66"/>
    <w:rsid w:val="40016322"/>
    <w:rsid w:val="404C551E"/>
    <w:rsid w:val="4055142D"/>
    <w:rsid w:val="405A40DF"/>
    <w:rsid w:val="405D772B"/>
    <w:rsid w:val="40736F4F"/>
    <w:rsid w:val="407707ED"/>
    <w:rsid w:val="4077259B"/>
    <w:rsid w:val="408D0011"/>
    <w:rsid w:val="40BC08F6"/>
    <w:rsid w:val="40C9239A"/>
    <w:rsid w:val="40D86396"/>
    <w:rsid w:val="41034ED2"/>
    <w:rsid w:val="4114603C"/>
    <w:rsid w:val="414E1B6D"/>
    <w:rsid w:val="41B353C1"/>
    <w:rsid w:val="41DD6D76"/>
    <w:rsid w:val="41E53E7C"/>
    <w:rsid w:val="41FD2F74"/>
    <w:rsid w:val="42004812"/>
    <w:rsid w:val="42034778"/>
    <w:rsid w:val="420A743F"/>
    <w:rsid w:val="423170C2"/>
    <w:rsid w:val="423A41C8"/>
    <w:rsid w:val="423B584A"/>
    <w:rsid w:val="423C1CEE"/>
    <w:rsid w:val="424C5CAA"/>
    <w:rsid w:val="425E25A2"/>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2E77EA"/>
    <w:rsid w:val="444123EF"/>
    <w:rsid w:val="449A0F4E"/>
    <w:rsid w:val="44DA54BF"/>
    <w:rsid w:val="45216F7A"/>
    <w:rsid w:val="45423447"/>
    <w:rsid w:val="457C68A6"/>
    <w:rsid w:val="45AB2CE7"/>
    <w:rsid w:val="45BA1A93"/>
    <w:rsid w:val="460743C1"/>
    <w:rsid w:val="462E7BA0"/>
    <w:rsid w:val="46357180"/>
    <w:rsid w:val="464D75C4"/>
    <w:rsid w:val="46704D3A"/>
    <w:rsid w:val="468477C0"/>
    <w:rsid w:val="46A14816"/>
    <w:rsid w:val="46B63ECE"/>
    <w:rsid w:val="46C40504"/>
    <w:rsid w:val="46C93D6D"/>
    <w:rsid w:val="46E76374"/>
    <w:rsid w:val="474A6C5C"/>
    <w:rsid w:val="474F4549"/>
    <w:rsid w:val="475F022D"/>
    <w:rsid w:val="479D5EC7"/>
    <w:rsid w:val="47BE5CC1"/>
    <w:rsid w:val="47BE7760"/>
    <w:rsid w:val="47DD6817"/>
    <w:rsid w:val="4820176A"/>
    <w:rsid w:val="48217291"/>
    <w:rsid w:val="483E7E42"/>
    <w:rsid w:val="48592ECE"/>
    <w:rsid w:val="487F0B87"/>
    <w:rsid w:val="48861923"/>
    <w:rsid w:val="48B60321"/>
    <w:rsid w:val="48C42A3E"/>
    <w:rsid w:val="49217FAF"/>
    <w:rsid w:val="493556E9"/>
    <w:rsid w:val="496F29A9"/>
    <w:rsid w:val="49926698"/>
    <w:rsid w:val="49C2133F"/>
    <w:rsid w:val="49C5081B"/>
    <w:rsid w:val="49EB7B56"/>
    <w:rsid w:val="49ED1B20"/>
    <w:rsid w:val="49FA6D70"/>
    <w:rsid w:val="4A9B157C"/>
    <w:rsid w:val="4AB368C6"/>
    <w:rsid w:val="4ACA3C0F"/>
    <w:rsid w:val="4AF60EA8"/>
    <w:rsid w:val="4B2D35EC"/>
    <w:rsid w:val="4B5D5F60"/>
    <w:rsid w:val="4B6127C6"/>
    <w:rsid w:val="4B8169C4"/>
    <w:rsid w:val="4BD20FCE"/>
    <w:rsid w:val="4BED5E07"/>
    <w:rsid w:val="4C481290"/>
    <w:rsid w:val="4C6D6F48"/>
    <w:rsid w:val="4C8F60AE"/>
    <w:rsid w:val="4C96649F"/>
    <w:rsid w:val="4C9A4EF6"/>
    <w:rsid w:val="4CC86587"/>
    <w:rsid w:val="4CC90623"/>
    <w:rsid w:val="4CCC3C6F"/>
    <w:rsid w:val="4CE2114F"/>
    <w:rsid w:val="4D0E24D9"/>
    <w:rsid w:val="4D5E3823"/>
    <w:rsid w:val="4D693F63"/>
    <w:rsid w:val="4D8E465E"/>
    <w:rsid w:val="4D95296E"/>
    <w:rsid w:val="4DA90454"/>
    <w:rsid w:val="4DAC6E59"/>
    <w:rsid w:val="4DC64B62"/>
    <w:rsid w:val="4DEA43D3"/>
    <w:rsid w:val="4E0F475B"/>
    <w:rsid w:val="4E2F0959"/>
    <w:rsid w:val="4E542872"/>
    <w:rsid w:val="4E593963"/>
    <w:rsid w:val="4E7D7917"/>
    <w:rsid w:val="4EC217CD"/>
    <w:rsid w:val="4EC70B92"/>
    <w:rsid w:val="4EDB38E7"/>
    <w:rsid w:val="4F2F2435"/>
    <w:rsid w:val="4F4A531F"/>
    <w:rsid w:val="4F860A4D"/>
    <w:rsid w:val="4F8847C5"/>
    <w:rsid w:val="4F8E345D"/>
    <w:rsid w:val="4F9D5D96"/>
    <w:rsid w:val="4FA62E9D"/>
    <w:rsid w:val="4FA90297"/>
    <w:rsid w:val="4FF414D6"/>
    <w:rsid w:val="50175B49"/>
    <w:rsid w:val="5023629C"/>
    <w:rsid w:val="50CD2161"/>
    <w:rsid w:val="50EF2622"/>
    <w:rsid w:val="510A73FB"/>
    <w:rsid w:val="51387B25"/>
    <w:rsid w:val="51450494"/>
    <w:rsid w:val="51457874"/>
    <w:rsid w:val="516C630A"/>
    <w:rsid w:val="51FA302C"/>
    <w:rsid w:val="52151C14"/>
    <w:rsid w:val="523C3645"/>
    <w:rsid w:val="5256749B"/>
    <w:rsid w:val="52C06024"/>
    <w:rsid w:val="52D84DB4"/>
    <w:rsid w:val="52DB4C0C"/>
    <w:rsid w:val="52F537F4"/>
    <w:rsid w:val="53073C53"/>
    <w:rsid w:val="53230361"/>
    <w:rsid w:val="534C5B09"/>
    <w:rsid w:val="535E75EB"/>
    <w:rsid w:val="53786725"/>
    <w:rsid w:val="538C4BB5"/>
    <w:rsid w:val="53921E55"/>
    <w:rsid w:val="53DE2F6F"/>
    <w:rsid w:val="5428517A"/>
    <w:rsid w:val="542E5D1D"/>
    <w:rsid w:val="54520EFE"/>
    <w:rsid w:val="54D04518"/>
    <w:rsid w:val="54D45DB6"/>
    <w:rsid w:val="54DE6C35"/>
    <w:rsid w:val="54ED50CA"/>
    <w:rsid w:val="54F5600C"/>
    <w:rsid w:val="552705DC"/>
    <w:rsid w:val="55286102"/>
    <w:rsid w:val="555962BC"/>
    <w:rsid w:val="555F665A"/>
    <w:rsid w:val="55747599"/>
    <w:rsid w:val="557F4285"/>
    <w:rsid w:val="55B41744"/>
    <w:rsid w:val="55C0458D"/>
    <w:rsid w:val="55D818D6"/>
    <w:rsid w:val="561F350F"/>
    <w:rsid w:val="562468CA"/>
    <w:rsid w:val="568D1184"/>
    <w:rsid w:val="569F0646"/>
    <w:rsid w:val="56AA48D3"/>
    <w:rsid w:val="56D6582A"/>
    <w:rsid w:val="56D95906"/>
    <w:rsid w:val="570404A9"/>
    <w:rsid w:val="57700B76"/>
    <w:rsid w:val="57B27F05"/>
    <w:rsid w:val="57B36157"/>
    <w:rsid w:val="57B53A3B"/>
    <w:rsid w:val="57D034A5"/>
    <w:rsid w:val="57D10D86"/>
    <w:rsid w:val="57E013BB"/>
    <w:rsid w:val="57FA3D86"/>
    <w:rsid w:val="57FC72DE"/>
    <w:rsid w:val="580B253D"/>
    <w:rsid w:val="58412A33"/>
    <w:rsid w:val="588500FC"/>
    <w:rsid w:val="58AC2446"/>
    <w:rsid w:val="58B232E7"/>
    <w:rsid w:val="58B32187"/>
    <w:rsid w:val="58C3434A"/>
    <w:rsid w:val="593908DE"/>
    <w:rsid w:val="59561411"/>
    <w:rsid w:val="59611BE3"/>
    <w:rsid w:val="5991071A"/>
    <w:rsid w:val="59D6437F"/>
    <w:rsid w:val="5A0F2BFE"/>
    <w:rsid w:val="5A2D4D8A"/>
    <w:rsid w:val="5A5F25C6"/>
    <w:rsid w:val="5A9304C2"/>
    <w:rsid w:val="5A9E21B8"/>
    <w:rsid w:val="5B0311A3"/>
    <w:rsid w:val="5B08785E"/>
    <w:rsid w:val="5B1E24A6"/>
    <w:rsid w:val="5B367C98"/>
    <w:rsid w:val="5B433C96"/>
    <w:rsid w:val="5B525C87"/>
    <w:rsid w:val="5B6854AA"/>
    <w:rsid w:val="5BB229CE"/>
    <w:rsid w:val="5BE24D30"/>
    <w:rsid w:val="5C0171DE"/>
    <w:rsid w:val="5C3D6937"/>
    <w:rsid w:val="5C961BA3"/>
    <w:rsid w:val="5CD728E8"/>
    <w:rsid w:val="5D3C4210"/>
    <w:rsid w:val="5D4635C9"/>
    <w:rsid w:val="5D91303F"/>
    <w:rsid w:val="5DDB1F64"/>
    <w:rsid w:val="5E0C4813"/>
    <w:rsid w:val="5E1A798E"/>
    <w:rsid w:val="5E394EDC"/>
    <w:rsid w:val="5E6006BB"/>
    <w:rsid w:val="5EE522DB"/>
    <w:rsid w:val="5EFA28BD"/>
    <w:rsid w:val="5F0337AE"/>
    <w:rsid w:val="5F2142EE"/>
    <w:rsid w:val="5F36478C"/>
    <w:rsid w:val="5F657A2C"/>
    <w:rsid w:val="5F9525E6"/>
    <w:rsid w:val="5F995DE3"/>
    <w:rsid w:val="5FBE38EB"/>
    <w:rsid w:val="5FC1162D"/>
    <w:rsid w:val="5FC133DB"/>
    <w:rsid w:val="5FC44C79"/>
    <w:rsid w:val="5FF612D7"/>
    <w:rsid w:val="60243B12"/>
    <w:rsid w:val="60341DFF"/>
    <w:rsid w:val="60566219"/>
    <w:rsid w:val="60591866"/>
    <w:rsid w:val="6062696C"/>
    <w:rsid w:val="60690D6A"/>
    <w:rsid w:val="606F1089"/>
    <w:rsid w:val="60C3607A"/>
    <w:rsid w:val="60DD2497"/>
    <w:rsid w:val="60EC4488"/>
    <w:rsid w:val="60F11A9E"/>
    <w:rsid w:val="61112140"/>
    <w:rsid w:val="61630BEE"/>
    <w:rsid w:val="619D1D0C"/>
    <w:rsid w:val="61EF4262"/>
    <w:rsid w:val="62285198"/>
    <w:rsid w:val="62454F43"/>
    <w:rsid w:val="627152C4"/>
    <w:rsid w:val="62797F9D"/>
    <w:rsid w:val="627E55B4"/>
    <w:rsid w:val="62966DA1"/>
    <w:rsid w:val="62A50D92"/>
    <w:rsid w:val="62E8291D"/>
    <w:rsid w:val="6315416A"/>
    <w:rsid w:val="631B69F2"/>
    <w:rsid w:val="63387E58"/>
    <w:rsid w:val="634C56B2"/>
    <w:rsid w:val="634E31D8"/>
    <w:rsid w:val="6365391E"/>
    <w:rsid w:val="637D544A"/>
    <w:rsid w:val="638135AD"/>
    <w:rsid w:val="63940864"/>
    <w:rsid w:val="63BF40D6"/>
    <w:rsid w:val="63D7141F"/>
    <w:rsid w:val="63DF301F"/>
    <w:rsid w:val="64144421"/>
    <w:rsid w:val="641E2BAA"/>
    <w:rsid w:val="642D3DB1"/>
    <w:rsid w:val="64525A76"/>
    <w:rsid w:val="64A05CB5"/>
    <w:rsid w:val="64A4088B"/>
    <w:rsid w:val="64AB2503"/>
    <w:rsid w:val="64EA6F30"/>
    <w:rsid w:val="651F307E"/>
    <w:rsid w:val="653F54CE"/>
    <w:rsid w:val="656F73E0"/>
    <w:rsid w:val="65DA6FA5"/>
    <w:rsid w:val="65E240AB"/>
    <w:rsid w:val="661E3335"/>
    <w:rsid w:val="6639016F"/>
    <w:rsid w:val="66F75934"/>
    <w:rsid w:val="67112E9A"/>
    <w:rsid w:val="67204E8B"/>
    <w:rsid w:val="6723497B"/>
    <w:rsid w:val="673426E5"/>
    <w:rsid w:val="675114E9"/>
    <w:rsid w:val="675B4115"/>
    <w:rsid w:val="6793565D"/>
    <w:rsid w:val="68692862"/>
    <w:rsid w:val="688C6539"/>
    <w:rsid w:val="68A11FFC"/>
    <w:rsid w:val="68A91FA3"/>
    <w:rsid w:val="68E960EC"/>
    <w:rsid w:val="694C1F68"/>
    <w:rsid w:val="696C260A"/>
    <w:rsid w:val="69886D18"/>
    <w:rsid w:val="69D56401"/>
    <w:rsid w:val="69EB56CF"/>
    <w:rsid w:val="69F148BD"/>
    <w:rsid w:val="69F50851"/>
    <w:rsid w:val="69FF27F5"/>
    <w:rsid w:val="6A0445F0"/>
    <w:rsid w:val="6A372C18"/>
    <w:rsid w:val="6A702141"/>
    <w:rsid w:val="6A8671F8"/>
    <w:rsid w:val="6A930D1D"/>
    <w:rsid w:val="6AA47B81"/>
    <w:rsid w:val="6ABA1153"/>
    <w:rsid w:val="6ADE3BD2"/>
    <w:rsid w:val="6AED32D6"/>
    <w:rsid w:val="6AF075F9"/>
    <w:rsid w:val="6B1D005F"/>
    <w:rsid w:val="6B770D5D"/>
    <w:rsid w:val="6B8E6209"/>
    <w:rsid w:val="6B9E0AD0"/>
    <w:rsid w:val="6C214EA2"/>
    <w:rsid w:val="6C2D1E76"/>
    <w:rsid w:val="6C445178"/>
    <w:rsid w:val="6C5E31B7"/>
    <w:rsid w:val="6C6742D2"/>
    <w:rsid w:val="6C8934D3"/>
    <w:rsid w:val="6C8D4D71"/>
    <w:rsid w:val="6D0C5DA7"/>
    <w:rsid w:val="6D2C5D88"/>
    <w:rsid w:val="6D402583"/>
    <w:rsid w:val="6D6B24D3"/>
    <w:rsid w:val="6D7F476F"/>
    <w:rsid w:val="6D901B33"/>
    <w:rsid w:val="6DB97DE8"/>
    <w:rsid w:val="6DD67814"/>
    <w:rsid w:val="6E301E58"/>
    <w:rsid w:val="6E3902CA"/>
    <w:rsid w:val="6E3B07FD"/>
    <w:rsid w:val="6E641B01"/>
    <w:rsid w:val="6E6A7222"/>
    <w:rsid w:val="6ED743C2"/>
    <w:rsid w:val="6EF6136D"/>
    <w:rsid w:val="6EFA2466"/>
    <w:rsid w:val="6F0C1A13"/>
    <w:rsid w:val="6F235519"/>
    <w:rsid w:val="6F397E6E"/>
    <w:rsid w:val="6F543924"/>
    <w:rsid w:val="6F582246"/>
    <w:rsid w:val="6F6D48B9"/>
    <w:rsid w:val="6F8B1310"/>
    <w:rsid w:val="6F9401C4"/>
    <w:rsid w:val="6FE70C3C"/>
    <w:rsid w:val="6FF65898"/>
    <w:rsid w:val="701D2739"/>
    <w:rsid w:val="702E23C7"/>
    <w:rsid w:val="70864088"/>
    <w:rsid w:val="70943FBF"/>
    <w:rsid w:val="709B5583"/>
    <w:rsid w:val="70C96594"/>
    <w:rsid w:val="70DF36C1"/>
    <w:rsid w:val="70E138DD"/>
    <w:rsid w:val="70E8423B"/>
    <w:rsid w:val="712C099E"/>
    <w:rsid w:val="71353C29"/>
    <w:rsid w:val="713734FD"/>
    <w:rsid w:val="716D5171"/>
    <w:rsid w:val="71752277"/>
    <w:rsid w:val="71AA1F21"/>
    <w:rsid w:val="71C34D91"/>
    <w:rsid w:val="71D15516"/>
    <w:rsid w:val="72001B41"/>
    <w:rsid w:val="720A0C12"/>
    <w:rsid w:val="720A6E64"/>
    <w:rsid w:val="72271DFF"/>
    <w:rsid w:val="72357033"/>
    <w:rsid w:val="724807AD"/>
    <w:rsid w:val="728101B8"/>
    <w:rsid w:val="728E1843"/>
    <w:rsid w:val="72920205"/>
    <w:rsid w:val="72BA2638"/>
    <w:rsid w:val="72D035A6"/>
    <w:rsid w:val="730833A3"/>
    <w:rsid w:val="73125FD0"/>
    <w:rsid w:val="73131D48"/>
    <w:rsid w:val="73245D03"/>
    <w:rsid w:val="73410663"/>
    <w:rsid w:val="73610D05"/>
    <w:rsid w:val="7365626F"/>
    <w:rsid w:val="73CA5F58"/>
    <w:rsid w:val="74035919"/>
    <w:rsid w:val="741C69DA"/>
    <w:rsid w:val="74235FBB"/>
    <w:rsid w:val="7427135A"/>
    <w:rsid w:val="74404DBF"/>
    <w:rsid w:val="74424693"/>
    <w:rsid w:val="74642C1B"/>
    <w:rsid w:val="74C82D26"/>
    <w:rsid w:val="74FD680C"/>
    <w:rsid w:val="74FE35BE"/>
    <w:rsid w:val="750A2CD7"/>
    <w:rsid w:val="75157FF9"/>
    <w:rsid w:val="754C32EF"/>
    <w:rsid w:val="757A4300"/>
    <w:rsid w:val="75B0717F"/>
    <w:rsid w:val="75B70374"/>
    <w:rsid w:val="75BF1D13"/>
    <w:rsid w:val="75D237F5"/>
    <w:rsid w:val="75D67789"/>
    <w:rsid w:val="75F417DC"/>
    <w:rsid w:val="760F2C9B"/>
    <w:rsid w:val="7611501A"/>
    <w:rsid w:val="761D53B8"/>
    <w:rsid w:val="76377AFB"/>
    <w:rsid w:val="764861AD"/>
    <w:rsid w:val="765B7D5B"/>
    <w:rsid w:val="76674885"/>
    <w:rsid w:val="76751CF6"/>
    <w:rsid w:val="767E1BCE"/>
    <w:rsid w:val="76AA651F"/>
    <w:rsid w:val="77057BFA"/>
    <w:rsid w:val="773329B9"/>
    <w:rsid w:val="77530BBA"/>
    <w:rsid w:val="776B3F01"/>
    <w:rsid w:val="77D81C9F"/>
    <w:rsid w:val="7804286E"/>
    <w:rsid w:val="7860333A"/>
    <w:rsid w:val="786F11CA"/>
    <w:rsid w:val="78964FAD"/>
    <w:rsid w:val="78A542BA"/>
    <w:rsid w:val="78DB5FB3"/>
    <w:rsid w:val="79283153"/>
    <w:rsid w:val="793D7EC7"/>
    <w:rsid w:val="7A0B2F10"/>
    <w:rsid w:val="7A1A39BC"/>
    <w:rsid w:val="7A284DF9"/>
    <w:rsid w:val="7A49604F"/>
    <w:rsid w:val="7A902877"/>
    <w:rsid w:val="7AC1762E"/>
    <w:rsid w:val="7AE12139"/>
    <w:rsid w:val="7AF26914"/>
    <w:rsid w:val="7B1B5C3E"/>
    <w:rsid w:val="7B664481"/>
    <w:rsid w:val="7B75534E"/>
    <w:rsid w:val="7B8374BD"/>
    <w:rsid w:val="7B9F79EB"/>
    <w:rsid w:val="7BA9038A"/>
    <w:rsid w:val="7BDE0D77"/>
    <w:rsid w:val="7BE2675B"/>
    <w:rsid w:val="7BE81FC4"/>
    <w:rsid w:val="7C0C5586"/>
    <w:rsid w:val="7C23124E"/>
    <w:rsid w:val="7C29438A"/>
    <w:rsid w:val="7C324FED"/>
    <w:rsid w:val="7C3B4483"/>
    <w:rsid w:val="7C3C2310"/>
    <w:rsid w:val="7C4A4A2C"/>
    <w:rsid w:val="7C535880"/>
    <w:rsid w:val="7C5B09E8"/>
    <w:rsid w:val="7C7C270C"/>
    <w:rsid w:val="7CB0213F"/>
    <w:rsid w:val="7CC540B3"/>
    <w:rsid w:val="7CC55E61"/>
    <w:rsid w:val="7CCF0A8E"/>
    <w:rsid w:val="7D0F532E"/>
    <w:rsid w:val="7D52346D"/>
    <w:rsid w:val="7D5316BF"/>
    <w:rsid w:val="7D715FE9"/>
    <w:rsid w:val="7D9832A3"/>
    <w:rsid w:val="7DAE0FEB"/>
    <w:rsid w:val="7DD02D0F"/>
    <w:rsid w:val="7E626696"/>
    <w:rsid w:val="7E6671D0"/>
    <w:rsid w:val="7E9401E1"/>
    <w:rsid w:val="7EAE2518"/>
    <w:rsid w:val="7EC42148"/>
    <w:rsid w:val="7EC81C39"/>
    <w:rsid w:val="7ECF727E"/>
    <w:rsid w:val="7F056578"/>
    <w:rsid w:val="7F121106"/>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27</Pages>
  <Words>8045</Words>
  <Characters>9284</Characters>
  <Lines>32</Lines>
  <Paragraphs>9</Paragraphs>
  <TotalTime>14</TotalTime>
  <ScaleCrop>false</ScaleCrop>
  <LinksUpToDate>false</LinksUpToDate>
  <CharactersWithSpaces>10508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Smile___谈谈,</cp:lastModifiedBy>
  <cp:lastPrinted>2019-10-22T02:53:00Z</cp:lastPrinted>
  <dcterms:modified xsi:type="dcterms:W3CDTF">2026-04-30T09:10:30Z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3AA0245E2475401D9DCACB975052F9EA_13</vt:lpwstr>
  </property>
  <property fmtid="{D5CDD505-2E9C-101B-9397-08002B2CF9AE}" pid="4" name="KSOTemplateDocerSaveRecord">
    <vt:lpwstr>eyJoZGlkIjoiYTY3YWZmZTc5NzU4YmEyMTViMGQzMmY4MDdmMDJmZTMiLCJ1c2VySWQiOiIyMjgxNjEyMDgifQ==</vt:lpwstr>
  </property>
</Properties>
</file>